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94CEC">
      <w:pPr>
        <w:wordWrap/>
        <w:autoSpaceDE/>
        <w:autoSpaceDN/>
        <w:spacing w:line="360" w:lineRule="auto"/>
        <w:jc w:val="center"/>
        <w:rPr>
          <w:rFonts w:hint="eastAsia" w:ascii="宋体" w:hAnsi="宋体" w:cs="宋体"/>
          <w:b/>
          <w:bCs/>
          <w:sz w:val="44"/>
          <w:szCs w:val="44"/>
          <w:lang w:eastAsia="zh-CN"/>
        </w:rPr>
      </w:pPr>
      <w:r>
        <w:rPr>
          <w:rFonts w:hint="eastAsia" w:ascii="宋体" w:hAnsi="宋体" w:eastAsia="宋体" w:cs="宋体"/>
          <w:sz w:val="21"/>
          <w:lang w:eastAsia="zh-CN"/>
        </w:rPr>
        <w:br w:type="textWrapping"/>
      </w:r>
      <w:r>
        <w:rPr>
          <w:rFonts w:hint="eastAsia" w:ascii="宋体" w:hAnsi="宋体" w:cs="宋体"/>
          <w:b/>
          <w:bCs/>
          <w:sz w:val="44"/>
          <w:szCs w:val="44"/>
          <w:lang w:eastAsia="zh-CN"/>
        </w:rPr>
        <w:t>西安计量技术研究院计量检定校准</w:t>
      </w:r>
    </w:p>
    <w:p w14:paraId="4DD5A427">
      <w:pPr>
        <w:wordWrap/>
        <w:autoSpaceDE/>
        <w:autoSpaceDN/>
        <w:spacing w:line="360" w:lineRule="auto"/>
        <w:jc w:val="center"/>
        <w:rPr>
          <w:rFonts w:hint="eastAsia" w:ascii="宋体" w:hAnsi="宋体" w:cs="宋体"/>
          <w:b/>
          <w:bCs/>
          <w:sz w:val="44"/>
          <w:szCs w:val="44"/>
          <w:lang w:eastAsia="zh-CN"/>
        </w:rPr>
      </w:pPr>
      <w:r>
        <w:rPr>
          <w:rFonts w:hint="eastAsia" w:ascii="宋体" w:hAnsi="宋体" w:cs="宋体"/>
          <w:b/>
          <w:bCs/>
          <w:sz w:val="44"/>
          <w:szCs w:val="44"/>
          <w:lang w:eastAsia="zh-CN"/>
        </w:rPr>
        <w:t>专用设备</w:t>
      </w:r>
    </w:p>
    <w:p w14:paraId="22867EA2">
      <w:pPr>
        <w:wordWrap/>
        <w:autoSpaceDE/>
        <w:autoSpaceDN/>
        <w:spacing w:line="360" w:lineRule="auto"/>
        <w:jc w:val="center"/>
        <w:rPr>
          <w:rFonts w:hint="eastAsia" w:ascii="宋体" w:hAnsi="宋体" w:cs="宋体"/>
          <w:b/>
          <w:bCs/>
          <w:sz w:val="44"/>
          <w:szCs w:val="44"/>
          <w:lang w:eastAsia="zh-CN"/>
        </w:rPr>
      </w:pPr>
      <w:r>
        <w:rPr>
          <w:rFonts w:hint="eastAsia" w:ascii="宋体" w:hAnsi="宋体" w:cs="宋体"/>
          <w:b/>
          <w:bCs/>
          <w:sz w:val="44"/>
          <w:szCs w:val="44"/>
          <w:lang w:eastAsia="zh-CN"/>
        </w:rPr>
        <w:t>采购合同</w:t>
      </w:r>
    </w:p>
    <w:p w14:paraId="099F6BF6">
      <w:pPr>
        <w:wordWrap/>
        <w:autoSpaceDE/>
        <w:autoSpaceDN/>
        <w:spacing w:line="360" w:lineRule="auto"/>
        <w:jc w:val="center"/>
        <w:rPr>
          <w:rFonts w:hint="eastAsia" w:ascii="宋体" w:hAnsi="宋体" w:cs="宋体"/>
          <w:b/>
          <w:bCs/>
          <w:sz w:val="44"/>
          <w:szCs w:val="44"/>
          <w:lang w:eastAsia="zh-CN"/>
        </w:rPr>
      </w:pPr>
    </w:p>
    <w:p w14:paraId="67ABD0D0">
      <w:pPr>
        <w:wordWrap/>
        <w:autoSpaceDE/>
        <w:autoSpaceDN/>
        <w:spacing w:line="360" w:lineRule="auto"/>
        <w:ind w:firstLine="1687" w:firstLineChars="600"/>
        <w:jc w:val="left"/>
        <w:rPr>
          <w:rFonts w:hint="eastAsia" w:ascii="宋体" w:hAnsi="宋体" w:cs="宋体"/>
          <w:b/>
          <w:bCs/>
          <w:sz w:val="28"/>
          <w:szCs w:val="28"/>
          <w:lang w:eastAsia="zh-CN"/>
        </w:rPr>
      </w:pPr>
    </w:p>
    <w:p w14:paraId="09B27F1D">
      <w:pPr>
        <w:wordWrap/>
        <w:autoSpaceDE/>
        <w:autoSpaceDN/>
        <w:spacing w:line="360" w:lineRule="auto"/>
        <w:ind w:firstLine="1687" w:firstLineChars="600"/>
        <w:jc w:val="left"/>
        <w:rPr>
          <w:rFonts w:hint="eastAsia" w:ascii="宋体" w:hAnsi="宋体" w:cs="宋体"/>
          <w:b/>
          <w:bCs/>
          <w:sz w:val="28"/>
          <w:szCs w:val="28"/>
          <w:lang w:eastAsia="zh-CN"/>
        </w:rPr>
      </w:pPr>
      <w:r>
        <w:rPr>
          <w:rFonts w:hint="eastAsia" w:ascii="宋体" w:hAnsi="宋体" w:cs="宋体"/>
          <w:b/>
          <w:bCs/>
          <w:sz w:val="28"/>
          <w:szCs w:val="28"/>
          <w:lang w:eastAsia="zh-CN"/>
        </w:rPr>
        <w:t>编号：</w:t>
      </w:r>
    </w:p>
    <w:p w14:paraId="5A8558AD">
      <w:pPr>
        <w:wordWrap/>
        <w:autoSpaceDE/>
        <w:autoSpaceDN/>
        <w:spacing w:before="156" w:beforeLines="50" w:line="360" w:lineRule="auto"/>
        <w:jc w:val="center"/>
        <w:rPr>
          <w:rFonts w:hint="eastAsia" w:ascii="宋体" w:hAnsi="宋体" w:cs="宋体"/>
          <w:b/>
          <w:bCs/>
          <w:sz w:val="24"/>
          <w:lang w:eastAsia="zh-CN"/>
        </w:rPr>
      </w:pPr>
      <w:r>
        <w:rPr>
          <w:rFonts w:hint="eastAsia" w:ascii="宋体" w:hAnsi="宋体" w:cs="宋体"/>
          <w:bCs/>
          <w:sz w:val="24"/>
          <w:lang w:eastAsia="zh-CN"/>
        </w:rPr>
        <w:br w:type="page"/>
      </w:r>
    </w:p>
    <w:p w14:paraId="4AE93BA7">
      <w:pPr>
        <w:wordWrap/>
        <w:autoSpaceDE/>
        <w:autoSpaceDN/>
        <w:adjustRightInd w:val="0"/>
        <w:snapToGrid w:val="0"/>
        <w:spacing w:line="360" w:lineRule="auto"/>
        <w:ind w:firstLine="482" w:firstLineChars="200"/>
        <w:jc w:val="center"/>
        <w:rPr>
          <w:rFonts w:hint="eastAsia" w:ascii="宋体" w:hAnsi="宋体" w:cs="宋体"/>
          <w:b/>
          <w:sz w:val="24"/>
          <w:lang w:eastAsia="zh-CN"/>
        </w:rPr>
      </w:pPr>
      <w:r>
        <w:rPr>
          <w:rFonts w:hint="eastAsia" w:ascii="宋体" w:hAnsi="宋体" w:cs="宋体"/>
          <w:b/>
          <w:sz w:val="24"/>
          <w:lang w:eastAsia="zh-CN"/>
        </w:rPr>
        <w:t>合同文本</w:t>
      </w:r>
    </w:p>
    <w:p w14:paraId="1A7CEE14">
      <w:pPr>
        <w:wordWrap/>
        <w:autoSpaceDE/>
        <w:autoSpaceDN/>
        <w:adjustRightInd w:val="0"/>
        <w:snapToGrid w:val="0"/>
        <w:spacing w:line="360" w:lineRule="auto"/>
        <w:ind w:firstLine="482" w:firstLineChars="200"/>
        <w:jc w:val="center"/>
        <w:rPr>
          <w:rFonts w:hint="eastAsia" w:ascii="宋体" w:hAnsi="宋体" w:cs="宋体"/>
          <w:b/>
          <w:sz w:val="24"/>
          <w:lang w:eastAsia="zh-CN"/>
        </w:rPr>
      </w:pPr>
    </w:p>
    <w:p w14:paraId="22DC2581">
      <w:pPr>
        <w:wordWrap/>
        <w:autoSpaceDE/>
        <w:autoSpaceDN/>
        <w:adjustRightInd w:val="0"/>
        <w:snapToGrid w:val="0"/>
        <w:spacing w:line="360" w:lineRule="auto"/>
        <w:ind w:firstLine="482" w:firstLineChars="200"/>
        <w:rPr>
          <w:rFonts w:hint="eastAsia" w:ascii="宋体" w:hAnsi="宋体" w:cs="宋体"/>
          <w:b/>
          <w:sz w:val="24"/>
          <w:u w:val="single"/>
          <w:lang w:eastAsia="zh-CN"/>
        </w:rPr>
      </w:pPr>
      <w:r>
        <w:rPr>
          <w:rFonts w:hint="eastAsia" w:ascii="宋体" w:hAnsi="宋体" w:cs="宋体"/>
          <w:b/>
          <w:sz w:val="24"/>
          <w:lang w:eastAsia="zh-CN"/>
        </w:rPr>
        <w:t>采购人（全称）：</w:t>
      </w:r>
      <w:r>
        <w:rPr>
          <w:rFonts w:hint="eastAsia" w:ascii="宋体" w:hAnsi="宋体" w:cs="宋体"/>
          <w:sz w:val="24"/>
          <w:u w:val="single"/>
          <w:lang w:eastAsia="zh-CN"/>
        </w:rPr>
        <w:tab/>
      </w:r>
      <w:r>
        <w:rPr>
          <w:rFonts w:hint="eastAsia" w:ascii="宋体" w:hAnsi="宋体" w:cs="宋体"/>
          <w:sz w:val="24"/>
          <w:u w:val="single"/>
          <w:lang w:eastAsia="zh-CN"/>
        </w:rPr>
        <w:t xml:space="preserve">                   </w:t>
      </w:r>
      <w:r>
        <w:rPr>
          <w:rFonts w:hint="eastAsia" w:ascii="宋体" w:hAnsi="宋体" w:cs="宋体"/>
          <w:sz w:val="24"/>
          <w:u w:val="single"/>
          <w:lang w:eastAsia="zh-CN"/>
        </w:rPr>
        <w:tab/>
      </w:r>
      <w:r>
        <w:rPr>
          <w:rFonts w:hint="eastAsia" w:ascii="宋体" w:hAnsi="宋体" w:cs="宋体"/>
          <w:sz w:val="24"/>
          <w:u w:val="single"/>
          <w:lang w:eastAsia="zh-CN"/>
        </w:rPr>
        <w:t xml:space="preserve">      </w:t>
      </w:r>
    </w:p>
    <w:p w14:paraId="297B723E">
      <w:pPr>
        <w:wordWrap/>
        <w:autoSpaceDE/>
        <w:autoSpaceDN/>
        <w:adjustRightInd w:val="0"/>
        <w:snapToGrid w:val="0"/>
        <w:spacing w:line="360" w:lineRule="auto"/>
        <w:ind w:firstLine="482" w:firstLineChars="200"/>
        <w:rPr>
          <w:rFonts w:hint="eastAsia" w:ascii="宋体" w:hAnsi="宋体" w:cs="宋体"/>
          <w:sz w:val="24"/>
          <w:u w:val="single"/>
          <w:lang w:eastAsia="zh-CN"/>
        </w:rPr>
      </w:pPr>
      <w:r>
        <w:rPr>
          <w:rFonts w:hint="eastAsia" w:ascii="宋体" w:hAnsi="宋体" w:cs="宋体"/>
          <w:b/>
          <w:sz w:val="24"/>
          <w:lang w:eastAsia="zh-CN"/>
        </w:rPr>
        <w:t>供应商（全称）：</w:t>
      </w:r>
      <w:r>
        <w:rPr>
          <w:rFonts w:hint="eastAsia" w:ascii="宋体" w:hAnsi="宋体" w:cs="宋体"/>
          <w:sz w:val="24"/>
          <w:u w:val="single"/>
          <w:lang w:eastAsia="zh-CN"/>
        </w:rPr>
        <w:tab/>
      </w:r>
      <w:r>
        <w:rPr>
          <w:rFonts w:hint="eastAsia" w:ascii="宋体" w:hAnsi="宋体" w:cs="宋体"/>
          <w:sz w:val="24"/>
          <w:u w:val="single"/>
          <w:lang w:eastAsia="zh-CN"/>
        </w:rPr>
        <w:t xml:space="preserve">                           </w:t>
      </w:r>
    </w:p>
    <w:p w14:paraId="63883719">
      <w:pPr>
        <w:wordWrap/>
        <w:autoSpaceDE/>
        <w:autoSpaceDN/>
        <w:adjustRightInd w:val="0"/>
        <w:snapToGrid w:val="0"/>
        <w:spacing w:line="360" w:lineRule="auto"/>
        <w:ind w:firstLine="480" w:firstLineChars="200"/>
        <w:rPr>
          <w:rFonts w:hint="eastAsia" w:ascii="宋体" w:hAnsi="宋体" w:cs="宋体"/>
          <w:sz w:val="24"/>
          <w:u w:val="single"/>
          <w:lang w:eastAsia="zh-CN"/>
        </w:rPr>
      </w:pPr>
      <w:r>
        <w:rPr>
          <w:rFonts w:hint="eastAsia" w:ascii="宋体" w:hAnsi="宋体" w:cs="宋体"/>
          <w:sz w:val="24"/>
          <w:lang w:eastAsia="zh-CN"/>
        </w:rPr>
        <w:t>依照《中华人民共和国民法典》及其他有关法律、法规，遵循平等、自愿、公平和诚信的原则，双方就下述项目范围与相关服务事项协商一致，订立本合同。</w:t>
      </w:r>
    </w:p>
    <w:p w14:paraId="5B8E15C8">
      <w:pPr>
        <w:wordWrap/>
        <w:autoSpaceDE/>
        <w:autoSpaceDN/>
        <w:adjustRightInd w:val="0"/>
        <w:snapToGrid w:val="0"/>
        <w:spacing w:line="360" w:lineRule="auto"/>
        <w:outlineLvl w:val="0"/>
        <w:rPr>
          <w:rFonts w:hint="eastAsia" w:ascii="宋体" w:hAnsi="宋体" w:cs="宋体"/>
          <w:b/>
          <w:sz w:val="24"/>
          <w:lang w:eastAsia="zh-CN"/>
        </w:rPr>
      </w:pPr>
      <w:r>
        <w:rPr>
          <w:rFonts w:hint="eastAsia" w:ascii="宋体" w:hAnsi="宋体" w:cs="宋体"/>
          <w:b/>
          <w:sz w:val="24"/>
          <w:lang w:eastAsia="zh-CN"/>
        </w:rPr>
        <w:t>一、项目概况</w:t>
      </w:r>
    </w:p>
    <w:p w14:paraId="32C8E333">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1、项目名称：</w:t>
      </w:r>
      <w:r>
        <w:rPr>
          <w:rFonts w:hint="eastAsia" w:ascii="宋体" w:hAnsi="宋体" w:cs="宋体"/>
          <w:sz w:val="24"/>
          <w:u w:val="single"/>
          <w:lang w:eastAsia="zh-CN"/>
        </w:rPr>
        <w:tab/>
      </w:r>
      <w:r>
        <w:rPr>
          <w:rFonts w:hint="eastAsia" w:ascii="宋体" w:hAnsi="宋体" w:cs="宋体"/>
          <w:sz w:val="24"/>
          <w:u w:val="single"/>
          <w:lang w:eastAsia="zh-CN"/>
        </w:rPr>
        <w:t>计量检定校准专用设备采购项目</w:t>
      </w:r>
    </w:p>
    <w:p w14:paraId="30574B4C">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2、包号：</w:t>
      </w:r>
      <w:r>
        <w:rPr>
          <w:rFonts w:hint="eastAsia" w:ascii="宋体" w:hAnsi="宋体" w:cs="宋体"/>
          <w:sz w:val="24"/>
          <w:u w:val="single"/>
          <w:lang w:eastAsia="zh-CN"/>
        </w:rPr>
        <w:t xml:space="preserve">             </w:t>
      </w:r>
    </w:p>
    <w:p w14:paraId="20E63F18">
      <w:pPr>
        <w:wordWrap/>
        <w:autoSpaceDE/>
        <w:autoSpaceDN/>
        <w:adjustRightInd w:val="0"/>
        <w:snapToGrid w:val="0"/>
        <w:spacing w:line="360" w:lineRule="auto"/>
        <w:ind w:firstLine="480" w:firstLineChars="200"/>
        <w:rPr>
          <w:rFonts w:hint="eastAsia" w:ascii="宋体" w:hAnsi="宋体" w:cs="宋体"/>
          <w:sz w:val="24"/>
          <w:u w:val="single"/>
          <w:lang w:eastAsia="zh-CN"/>
        </w:rPr>
      </w:pPr>
      <w:r>
        <w:rPr>
          <w:rFonts w:hint="eastAsia" w:ascii="宋体" w:hAnsi="宋体" w:cs="宋体"/>
          <w:sz w:val="24"/>
          <w:lang w:eastAsia="zh-CN"/>
        </w:rPr>
        <w:t>3、项目地点：</w:t>
      </w:r>
      <w:r>
        <w:rPr>
          <w:rFonts w:hint="eastAsia" w:ascii="宋体" w:hAnsi="宋体" w:cs="宋体"/>
          <w:sz w:val="24"/>
          <w:u w:val="single"/>
          <w:lang w:eastAsia="zh-CN"/>
        </w:rPr>
        <w:t>采购人指定地点</w:t>
      </w:r>
    </w:p>
    <w:p w14:paraId="230FD39E">
      <w:pPr>
        <w:wordWrap/>
        <w:autoSpaceDE/>
        <w:autoSpaceDN/>
        <w:adjustRightInd w:val="0"/>
        <w:snapToGrid w:val="0"/>
        <w:spacing w:line="360" w:lineRule="auto"/>
        <w:outlineLvl w:val="0"/>
        <w:rPr>
          <w:rFonts w:hint="eastAsia" w:ascii="宋体" w:hAnsi="宋体" w:cs="宋体"/>
          <w:b/>
          <w:sz w:val="24"/>
          <w:lang w:eastAsia="zh-CN"/>
        </w:rPr>
      </w:pPr>
      <w:r>
        <w:rPr>
          <w:rFonts w:hint="eastAsia" w:ascii="宋体" w:hAnsi="宋体" w:cs="宋体"/>
          <w:b/>
          <w:sz w:val="24"/>
          <w:lang w:eastAsia="zh-CN"/>
        </w:rPr>
        <w:t>二、组成本合同的文件</w:t>
      </w:r>
    </w:p>
    <w:p w14:paraId="363D166C">
      <w:pPr>
        <w:wordWrap/>
        <w:autoSpaceDE/>
        <w:autoSpaceDN/>
        <w:adjustRightInd w:val="0"/>
        <w:snapToGrid w:val="0"/>
        <w:spacing w:line="360" w:lineRule="auto"/>
        <w:ind w:firstLine="475" w:firstLineChars="198"/>
        <w:rPr>
          <w:rFonts w:hint="eastAsia" w:ascii="宋体" w:hAnsi="宋体" w:cs="宋体"/>
          <w:sz w:val="24"/>
          <w:lang w:eastAsia="zh-CN"/>
        </w:rPr>
      </w:pPr>
      <w:r>
        <w:rPr>
          <w:rFonts w:hint="eastAsia" w:ascii="宋体" w:hAnsi="宋体" w:cs="宋体"/>
          <w:sz w:val="24"/>
          <w:lang w:eastAsia="zh-CN"/>
        </w:rPr>
        <w:t>1、合同文本、中标通知书、投标文件、招标文件、澄清、招标补充文件（或委托书）；</w:t>
      </w:r>
    </w:p>
    <w:p w14:paraId="52450C2F">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2、相关服务建议书；</w:t>
      </w:r>
    </w:p>
    <w:p w14:paraId="4E1191E2">
      <w:pPr>
        <w:wordWrap/>
        <w:autoSpaceDE/>
        <w:autoSpaceDN/>
        <w:adjustRightInd w:val="0"/>
        <w:snapToGrid w:val="0"/>
        <w:spacing w:line="360" w:lineRule="auto"/>
        <w:rPr>
          <w:rFonts w:hint="eastAsia" w:ascii="宋体" w:hAnsi="宋体" w:cs="宋体"/>
          <w:sz w:val="24"/>
          <w:lang w:eastAsia="zh-CN"/>
        </w:rPr>
      </w:pPr>
      <w:r>
        <w:rPr>
          <w:rFonts w:hint="eastAsia" w:ascii="宋体" w:hAnsi="宋体" w:cs="宋体"/>
          <w:sz w:val="24"/>
          <w:lang w:eastAsia="zh-CN"/>
        </w:rPr>
        <w:t xml:space="preserve">    3、附录，即：附表内相关服务的范围和内容；</w:t>
      </w:r>
    </w:p>
    <w:p w14:paraId="69491BB4">
      <w:pPr>
        <w:wordWrap/>
        <w:autoSpaceDE/>
        <w:autoSpaceDN/>
        <w:adjustRightInd w:val="0"/>
        <w:snapToGrid w:val="0"/>
        <w:spacing w:line="360" w:lineRule="auto"/>
        <w:ind w:firstLine="475" w:firstLineChars="198"/>
        <w:rPr>
          <w:rFonts w:hint="eastAsia" w:ascii="宋体" w:hAnsi="宋体" w:cs="宋体"/>
          <w:sz w:val="24"/>
          <w:lang w:eastAsia="zh-CN"/>
        </w:rPr>
      </w:pPr>
      <w:r>
        <w:rPr>
          <w:rFonts w:hint="eastAsia" w:ascii="宋体" w:hAnsi="宋体" w:cs="宋体"/>
          <w:sz w:val="24"/>
          <w:lang w:eastAsia="zh-CN"/>
        </w:rPr>
        <w:t>4、本合同签订后，双方依法签订的补充协议也是本合同文件的组成部分。</w:t>
      </w:r>
    </w:p>
    <w:p w14:paraId="7145F992">
      <w:pPr>
        <w:wordWrap/>
        <w:autoSpaceDE/>
        <w:autoSpaceDN/>
        <w:adjustRightInd w:val="0"/>
        <w:snapToGrid w:val="0"/>
        <w:spacing w:line="360" w:lineRule="auto"/>
        <w:outlineLvl w:val="0"/>
        <w:rPr>
          <w:rFonts w:hint="eastAsia" w:ascii="宋体" w:hAnsi="宋体" w:cs="宋体"/>
          <w:b/>
          <w:sz w:val="24"/>
          <w:lang w:eastAsia="zh-CN"/>
        </w:rPr>
      </w:pPr>
      <w:r>
        <w:rPr>
          <w:rFonts w:hint="eastAsia" w:ascii="宋体" w:hAnsi="宋体" w:cs="宋体"/>
          <w:b/>
          <w:sz w:val="24"/>
          <w:lang w:eastAsia="zh-CN"/>
        </w:rPr>
        <w:t>三、合同价款</w:t>
      </w:r>
    </w:p>
    <w:p w14:paraId="2619B4E8">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1、合同金额（大写）：</w:t>
      </w:r>
      <w:r>
        <w:rPr>
          <w:rFonts w:hint="eastAsia" w:ascii="宋体" w:hAnsi="宋体" w:cs="宋体"/>
          <w:sz w:val="24"/>
          <w:u w:val="single"/>
          <w:lang w:eastAsia="zh-CN"/>
        </w:rPr>
        <w:t xml:space="preserve">              整</w:t>
      </w:r>
      <w:r>
        <w:rPr>
          <w:rFonts w:hint="eastAsia" w:ascii="宋体" w:hAnsi="宋体" w:cs="宋体"/>
          <w:sz w:val="24"/>
          <w:lang w:eastAsia="zh-CN"/>
        </w:rPr>
        <w:t>（¥</w:t>
      </w:r>
      <w:r>
        <w:rPr>
          <w:rFonts w:hint="eastAsia" w:ascii="宋体" w:hAnsi="宋体" w:cs="宋体"/>
          <w:sz w:val="24"/>
          <w:u w:val="single"/>
          <w:lang w:eastAsia="zh-CN"/>
        </w:rPr>
        <w:t xml:space="preserve">         </w:t>
      </w:r>
      <w:r>
        <w:rPr>
          <w:rFonts w:hint="eastAsia" w:ascii="宋体" w:hAnsi="宋体" w:cs="宋体"/>
          <w:sz w:val="24"/>
          <w:lang w:eastAsia="zh-CN"/>
        </w:rPr>
        <w:t>）；</w:t>
      </w:r>
    </w:p>
    <w:p w14:paraId="79F73D65">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2、合同价格即中标价，供应商完成所要求的产品、服务且验收合格的所有费用，包括但不限于设备费、运输费、保险费、安装调试费、检定/校准费、仓储保管费、培训费、验收费等其他一切相关费用；</w:t>
      </w:r>
      <w:bookmarkStart w:id="3" w:name="_GoBack"/>
      <w:bookmarkEnd w:id="3"/>
    </w:p>
    <w:p w14:paraId="42EFDA63">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3、合同价格为含税价，供应商提供产品所发生的一切税（包括增值税）费等都已包含于合同价款中；</w:t>
      </w:r>
    </w:p>
    <w:p w14:paraId="14731CF5">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4、该合同总价不受市场价格变化或实际工作量变化的影响，在合同有效期不做任何调整，供应商自行承担所供货物的市场价格变化。</w:t>
      </w:r>
    </w:p>
    <w:p w14:paraId="26742EB9">
      <w:pPr>
        <w:wordWrap/>
        <w:autoSpaceDE/>
        <w:autoSpaceDN/>
        <w:adjustRightInd w:val="0"/>
        <w:snapToGrid w:val="0"/>
        <w:spacing w:line="360" w:lineRule="auto"/>
        <w:outlineLvl w:val="0"/>
        <w:rPr>
          <w:rFonts w:hint="eastAsia" w:ascii="宋体" w:hAnsi="宋体" w:cs="宋体"/>
          <w:b/>
          <w:sz w:val="24"/>
          <w:lang w:eastAsia="zh-CN"/>
        </w:rPr>
      </w:pPr>
      <w:r>
        <w:rPr>
          <w:rFonts w:hint="eastAsia" w:ascii="宋体" w:hAnsi="宋体" w:cs="宋体"/>
          <w:b/>
          <w:sz w:val="24"/>
          <w:lang w:eastAsia="zh-CN"/>
        </w:rPr>
        <w:t>四、期限</w:t>
      </w:r>
    </w:p>
    <w:p w14:paraId="54B1FC50">
      <w:pPr>
        <w:wordWrap/>
        <w:autoSpaceDE/>
        <w:autoSpaceDN/>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①交货期：自签订合同之日起120个日历日内</w:t>
      </w:r>
      <w:r>
        <w:rPr>
          <w:rFonts w:hint="eastAsia" w:ascii="Times New Roman" w:hAnsi="Times New Roman" w:cs="Times New Roman"/>
          <w:sz w:val="24"/>
          <w:lang w:eastAsia="zh-CN"/>
        </w:rPr>
        <w:t>完成交付、安装及调试等所有交付工作</w:t>
      </w:r>
      <w:r>
        <w:rPr>
          <w:rFonts w:hint="eastAsia" w:ascii="宋体" w:hAnsi="宋体" w:cs="宋体"/>
          <w:sz w:val="24"/>
          <w:lang w:eastAsia="zh-CN"/>
        </w:rPr>
        <w:t>。</w:t>
      </w:r>
    </w:p>
    <w:p w14:paraId="41AAC833">
      <w:pPr>
        <w:tabs>
          <w:tab w:val="left" w:pos="284"/>
        </w:tabs>
        <w:ind w:firstLine="480" w:firstLineChars="200"/>
        <w:rPr>
          <w:rFonts w:hint="default" w:ascii="Calibri" w:hAnsi="Calibri" w:eastAsia="宋体" w:cs="Times New Roman"/>
          <w:lang w:val="en-US" w:eastAsia="zh-Hans" w:bidi="ar-SA"/>
        </w:rPr>
      </w:pPr>
      <w:r>
        <w:rPr>
          <w:rFonts w:hint="eastAsia" w:ascii="宋体" w:hAnsi="宋体" w:eastAsia="宋体" w:cs="宋体"/>
          <w:sz w:val="24"/>
          <w:lang w:val="en-US" w:eastAsia="zh-CN" w:bidi="ar-SA"/>
        </w:rPr>
        <w:t>②</w:t>
      </w:r>
      <w:r>
        <w:rPr>
          <w:rFonts w:hint="eastAsia" w:ascii="宋体" w:hAnsi="宋体" w:eastAsia="宋体" w:cs="宋体"/>
          <w:sz w:val="24"/>
          <w:lang w:val="en-US" w:eastAsia="zh-Hans" w:bidi="ar-SA"/>
        </w:rPr>
        <w:t>质保期自最终验收合格之日算，质保期     年。</w:t>
      </w:r>
    </w:p>
    <w:p w14:paraId="5BF3FB2C">
      <w:pPr>
        <w:wordWrap/>
        <w:autoSpaceDE/>
        <w:autoSpaceDN/>
        <w:adjustRightInd w:val="0"/>
        <w:snapToGrid w:val="0"/>
        <w:spacing w:line="360" w:lineRule="auto"/>
        <w:ind w:firstLine="480" w:firstLineChars="200"/>
        <w:rPr>
          <w:rFonts w:hint="eastAsia" w:ascii="宋体" w:hAnsi="宋体" w:cs="宋体"/>
          <w:sz w:val="24"/>
          <w:lang w:eastAsia="zh-CN"/>
        </w:rPr>
      </w:pPr>
    </w:p>
    <w:p w14:paraId="1138ED9F">
      <w:pPr>
        <w:wordWrap/>
        <w:autoSpaceDE/>
        <w:autoSpaceDN/>
        <w:adjustRightInd w:val="0"/>
        <w:snapToGrid w:val="0"/>
        <w:spacing w:line="360" w:lineRule="auto"/>
        <w:outlineLvl w:val="0"/>
        <w:rPr>
          <w:rFonts w:hint="eastAsia" w:ascii="宋体" w:hAnsi="宋体" w:cs="宋体"/>
          <w:b/>
          <w:sz w:val="24"/>
          <w:lang w:eastAsia="zh-CN"/>
        </w:rPr>
      </w:pPr>
      <w:r>
        <w:rPr>
          <w:rFonts w:ascii="宋体" w:hAnsi="宋体" w:cs="宋体"/>
          <w:b/>
          <w:sz w:val="24"/>
          <w:lang w:eastAsia="zh-CN"/>
        </w:rPr>
        <w:t>五、</w:t>
      </w:r>
      <w:r>
        <w:rPr>
          <w:rFonts w:hint="eastAsia" w:ascii="宋体" w:hAnsi="宋体" w:cs="宋体"/>
          <w:b/>
          <w:sz w:val="24"/>
          <w:lang w:eastAsia="zh-CN"/>
        </w:rPr>
        <w:t>结算</w:t>
      </w:r>
      <w:r>
        <w:rPr>
          <w:rFonts w:ascii="宋体" w:hAnsi="宋体" w:cs="宋体"/>
          <w:b/>
          <w:sz w:val="24"/>
          <w:lang w:eastAsia="zh-CN"/>
        </w:rPr>
        <w:t>方式</w:t>
      </w:r>
    </w:p>
    <w:p w14:paraId="1524CFB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1、结算单位：银行转账，由采购人以人民币负责结算。验收</w:t>
      </w:r>
      <w:r>
        <w:rPr>
          <w:rFonts w:hint="eastAsia" w:ascii="宋体" w:hAnsi="宋体" w:eastAsia="宋体" w:cs="宋体"/>
          <w:sz w:val="24"/>
          <w:szCs w:val="24"/>
          <w:lang w:val="en-US" w:eastAsia="zh-CN" w:bidi="ar-SA"/>
        </w:rPr>
        <w:t>前</w:t>
      </w:r>
      <w:r>
        <w:rPr>
          <w:rFonts w:hint="eastAsia" w:ascii="宋体" w:hAnsi="宋体" w:eastAsia="宋体" w:cs="宋体"/>
          <w:sz w:val="24"/>
          <w:szCs w:val="24"/>
          <w:lang w:val="en-US" w:eastAsia="zh-Hans" w:bidi="ar-SA"/>
        </w:rPr>
        <w:t>，供应商必须开具符合采购人要求的全额发票给采购人；</w:t>
      </w:r>
    </w:p>
    <w:p w14:paraId="7D08BB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sz w:val="24"/>
          <w:lang w:eastAsia="zh-Hans"/>
        </w:rPr>
      </w:pPr>
      <w:r>
        <w:rPr>
          <w:rFonts w:ascii="宋体" w:hAnsi="宋体" w:eastAsia="宋体" w:cs="宋体"/>
          <w:sz w:val="24"/>
          <w:lang w:eastAsia="zh-CN"/>
        </w:rPr>
        <w:t xml:space="preserve"> 2、合同签订之后</w:t>
      </w:r>
      <w:r>
        <w:rPr>
          <w:rFonts w:hint="eastAsia" w:ascii="宋体" w:hAnsi="宋体" w:eastAsia="宋体" w:cs="宋体"/>
          <w:sz w:val="24"/>
          <w:lang w:eastAsia="zh-CN"/>
        </w:rPr>
        <w:t>，达到</w:t>
      </w:r>
      <w:r>
        <w:rPr>
          <w:rFonts w:hint="eastAsia" w:ascii="Times New Roman" w:hAnsi="Times New Roman" w:cs="Times New Roman"/>
          <w:sz w:val="24"/>
          <w:lang w:eastAsia="zh-Hans"/>
        </w:rPr>
        <w:t>付款条件起</w:t>
      </w:r>
      <w:r>
        <w:rPr>
          <w:rFonts w:hint="eastAsia" w:ascii="Times New Roman" w:hAnsi="Times New Roman" w:cs="Times New Roman"/>
          <w:sz w:val="24"/>
          <w:lang w:eastAsia="zh-CN"/>
        </w:rPr>
        <w:t>30</w:t>
      </w:r>
      <w:r>
        <w:rPr>
          <w:rFonts w:hint="eastAsia" w:ascii="Times New Roman" w:hAnsi="Times New Roman" w:cs="Times New Roman"/>
          <w:sz w:val="24"/>
          <w:lang w:eastAsia="zh-Hans"/>
        </w:rPr>
        <w:t>日内，支付合同总金额的</w:t>
      </w:r>
      <w:r>
        <w:rPr>
          <w:rFonts w:hint="eastAsia" w:ascii="Times New Roman" w:hAnsi="Times New Roman" w:cs="Times New Roman"/>
          <w:sz w:val="24"/>
          <w:u w:val="single"/>
          <w:lang w:eastAsia="zh-CN"/>
        </w:rPr>
        <w:t>_  _</w:t>
      </w:r>
      <w:r>
        <w:rPr>
          <w:rFonts w:hint="eastAsia" w:ascii="Times New Roman" w:hAnsi="Times New Roman" w:cs="Times New Roman"/>
          <w:sz w:val="24"/>
          <w:lang w:eastAsia="zh-CN"/>
        </w:rPr>
        <w:t>%</w:t>
      </w:r>
      <w:r>
        <w:rPr>
          <w:rFonts w:hint="eastAsia" w:ascii="Times New Roman" w:hAnsi="Times New Roman" w:cs="Times New Roman"/>
          <w:sz w:val="24"/>
          <w:lang w:eastAsia="zh-Hans"/>
        </w:rPr>
        <w:t>。</w:t>
      </w:r>
    </w:p>
    <w:p w14:paraId="7FD793F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（即</w:t>
      </w:r>
      <w:r>
        <w:rPr>
          <w:rFonts w:hint="eastAsia" w:ascii="宋体" w:hAnsi="宋体" w:eastAsia="宋体" w:cs="宋体"/>
          <w:sz w:val="24"/>
          <w:szCs w:val="24"/>
          <w:lang w:val="en-US" w:eastAsia="zh-CN" w:bidi="ar-SA"/>
        </w:rPr>
        <w:t xml:space="preserve">     </w:t>
      </w:r>
      <w:r>
        <w:rPr>
          <w:rFonts w:hint="eastAsia" w:ascii="宋体" w:hAnsi="宋体" w:eastAsia="宋体" w:cs="宋体"/>
          <w:sz w:val="24"/>
          <w:szCs w:val="24"/>
          <w:lang w:val="en-US" w:eastAsia="zh-Hans" w:bidi="ar-SA"/>
        </w:rPr>
        <w:t>元，大写：</w:t>
      </w:r>
      <w:r>
        <w:rPr>
          <w:rFonts w:hint="eastAsia" w:ascii="宋体" w:hAnsi="宋体" w:eastAsia="宋体" w:cs="宋体"/>
          <w:sz w:val="24"/>
          <w:szCs w:val="24"/>
          <w:lang w:val="en-US" w:eastAsia="zh-CN" w:bidi="ar-SA"/>
        </w:rPr>
        <w:t xml:space="preserve">    整</w:t>
      </w:r>
      <w:r>
        <w:rPr>
          <w:rFonts w:hint="eastAsia" w:ascii="宋体" w:hAnsi="宋体" w:eastAsia="宋体" w:cs="宋体"/>
          <w:sz w:val="24"/>
          <w:szCs w:val="24"/>
          <w:lang w:val="en-US" w:eastAsia="zh-Hans" w:bidi="ar-SA"/>
        </w:rPr>
        <w:t>）作为预付款；</w:t>
      </w:r>
    </w:p>
    <w:p w14:paraId="30FDD52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3、通过最终验收合格后</w:t>
      </w:r>
      <w:r>
        <w:rPr>
          <w:rFonts w:hint="eastAsia" w:ascii="宋体" w:hAnsi="宋体" w:eastAsia="宋体" w:cs="宋体"/>
          <w:sz w:val="24"/>
          <w:szCs w:val="24"/>
          <w:lang w:val="en-US" w:eastAsia="zh-CN" w:bidi="ar-SA"/>
        </w:rPr>
        <w:t>，</w:t>
      </w:r>
      <w:r>
        <w:rPr>
          <w:rFonts w:hint="eastAsia" w:ascii="宋体" w:hAnsi="宋体" w:eastAsia="宋体" w:cs="宋体"/>
          <w:sz w:val="24"/>
          <w:szCs w:val="24"/>
          <w:lang w:val="en-US" w:eastAsia="zh-Hans" w:bidi="ar-SA"/>
        </w:rPr>
        <w:t>采购人向供应商支付全部剩余</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Hans" w:bidi="ar-SA"/>
        </w:rPr>
        <w:t>%的合同总价款（即</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Hans" w:bidi="ar-SA"/>
        </w:rPr>
        <w:t>元，大写：</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val="en-US" w:eastAsia="zh-CN" w:bidi="ar-SA"/>
        </w:rPr>
        <w:t>元整</w:t>
      </w:r>
      <w:r>
        <w:rPr>
          <w:rFonts w:hint="eastAsia" w:ascii="宋体" w:hAnsi="宋体" w:eastAsia="宋体" w:cs="宋体"/>
          <w:sz w:val="24"/>
          <w:szCs w:val="24"/>
          <w:lang w:val="en-US" w:eastAsia="zh-Hans" w:bidi="ar-SA"/>
        </w:rPr>
        <w:t>）；</w:t>
      </w:r>
    </w:p>
    <w:p w14:paraId="28587B6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支付方式：银行转账，采购人将应付供应商的款项付款至下列指定账户：</w:t>
      </w:r>
    </w:p>
    <w:p w14:paraId="39FE3CE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Hans" w:bidi="ar-SA"/>
        </w:rPr>
        <w:t>单    位：</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p>
    <w:p w14:paraId="765C4F0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lang w:val="en-US" w:eastAsia="zh-CN" w:bidi="ar-SA"/>
        </w:rPr>
      </w:pPr>
      <w:r>
        <w:rPr>
          <w:rFonts w:hint="eastAsia" w:ascii="宋体" w:hAnsi="宋体" w:eastAsia="宋体" w:cs="宋体"/>
          <w:sz w:val="24"/>
          <w:szCs w:val="24"/>
          <w:lang w:val="en-US" w:eastAsia="zh-Hans" w:bidi="ar-SA"/>
        </w:rPr>
        <w:t>地    址：</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p>
    <w:p w14:paraId="4E4DF7E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Hans" w:bidi="ar-SA"/>
        </w:rPr>
        <w:t>税    号：</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p>
    <w:p w14:paraId="2F53969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lang w:val="en-US" w:eastAsia="zh-CN" w:bidi="ar-SA"/>
        </w:rPr>
      </w:pPr>
      <w:r>
        <w:rPr>
          <w:rFonts w:hint="eastAsia" w:ascii="宋体" w:hAnsi="宋体" w:eastAsia="宋体" w:cs="宋体"/>
          <w:sz w:val="24"/>
          <w:szCs w:val="24"/>
          <w:lang w:val="en-US" w:eastAsia="zh-Hans" w:bidi="ar-SA"/>
        </w:rPr>
        <w:t>开户银行：</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p>
    <w:p w14:paraId="5EC25C2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u w:val="single"/>
          <w:lang w:val="en-US" w:eastAsia="zh-CN" w:bidi="ar-SA"/>
        </w:rPr>
      </w:pPr>
      <w:r>
        <w:rPr>
          <w:rFonts w:hint="eastAsia" w:ascii="宋体" w:hAnsi="宋体" w:eastAsia="宋体" w:cs="宋体"/>
          <w:sz w:val="24"/>
          <w:szCs w:val="24"/>
          <w:lang w:val="en-US" w:eastAsia="zh-Hans" w:bidi="ar-SA"/>
        </w:rPr>
        <w:t>账    号：</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u w:val="single"/>
          <w:lang w:val="en-US" w:eastAsia="zh-Hans" w:bidi="ar-SA"/>
        </w:rPr>
        <w:t xml:space="preserve">                    </w:t>
      </w:r>
      <w:r>
        <w:rPr>
          <w:rFonts w:hint="eastAsia" w:ascii="宋体" w:hAnsi="宋体" w:eastAsia="宋体" w:cs="宋体"/>
          <w:sz w:val="24"/>
          <w:szCs w:val="24"/>
          <w:u w:val="single"/>
          <w:lang w:val="en-US" w:eastAsia="zh-CN" w:bidi="ar-SA"/>
        </w:rPr>
        <w:t xml:space="preserve"> </w:t>
      </w:r>
    </w:p>
    <w:p w14:paraId="3B5C2676">
      <w:pPr>
        <w:keepNext w:val="0"/>
        <w:keepLines w:val="0"/>
        <w:pageBreakBefore w:val="0"/>
        <w:widowControl/>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sz w:val="24"/>
          <w:szCs w:val="24"/>
          <w:lang w:val="en-US" w:eastAsia="zh-Hans" w:bidi="ar-SA"/>
        </w:rPr>
      </w:pPr>
      <w:r>
        <w:rPr>
          <w:rFonts w:hint="eastAsia" w:ascii="宋体" w:hAnsi="宋体" w:eastAsia="宋体" w:cs="宋体"/>
          <w:b/>
          <w:sz w:val="24"/>
          <w:szCs w:val="24"/>
          <w:lang w:val="en-US" w:eastAsia="zh-Hans" w:bidi="ar-SA"/>
        </w:rPr>
        <w:t>六、检定/校准/检测</w:t>
      </w:r>
    </w:p>
    <w:p w14:paraId="1A1C5732">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供应商在整机验收时需向采购人提供采购人要求的设备计量检定</w:t>
      </w:r>
      <w:r>
        <w:rPr>
          <w:rFonts w:hint="eastAsia" w:ascii="宋体" w:hAnsi="宋体" w:eastAsia="宋体" w:cs="宋体"/>
          <w:sz w:val="24"/>
          <w:szCs w:val="24"/>
          <w:lang w:val="en-US" w:eastAsia="zh-CN" w:bidi="ar-SA"/>
        </w:rPr>
        <w:t>、校准</w:t>
      </w:r>
      <w:r>
        <w:rPr>
          <w:rFonts w:hint="eastAsia" w:ascii="宋体" w:hAnsi="宋体" w:eastAsia="宋体" w:cs="宋体"/>
          <w:sz w:val="24"/>
          <w:szCs w:val="24"/>
          <w:lang w:val="en-US" w:eastAsia="zh-Hans" w:bidi="ar-SA"/>
        </w:rPr>
        <w:t>证书等资料，由此产生的所有费用由供应商承担。（除无需溯源的设备）</w:t>
      </w:r>
    </w:p>
    <w:p w14:paraId="15E515CD">
      <w:pPr>
        <w:keepNext w:val="0"/>
        <w:keepLines w:val="0"/>
        <w:pageBreakBefore w:val="0"/>
        <w:widowControl/>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sz w:val="24"/>
          <w:szCs w:val="24"/>
          <w:lang w:val="en-US" w:eastAsia="zh-Hans" w:bidi="ar-SA"/>
        </w:rPr>
      </w:pPr>
      <w:r>
        <w:rPr>
          <w:rFonts w:hint="eastAsia" w:ascii="宋体" w:hAnsi="宋体" w:eastAsia="宋体" w:cs="宋体"/>
          <w:b/>
          <w:sz w:val="24"/>
          <w:szCs w:val="24"/>
          <w:lang w:val="en-US" w:eastAsia="zh-Hans" w:bidi="ar-SA"/>
        </w:rPr>
        <w:t>七、内容及要求</w:t>
      </w:r>
    </w:p>
    <w:p w14:paraId="051D6C50">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即交付的产品、服务内容、数量与投标文件、招标文件等所指明的，或者与本合同所指明的产品、服务内容相一致。</w:t>
      </w:r>
    </w:p>
    <w:p w14:paraId="10D8FD3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供货内容一览表</w:t>
      </w:r>
    </w:p>
    <w:tbl>
      <w:tblPr>
        <w:tblStyle w:val="11"/>
        <w:tblW w:w="91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48"/>
        <w:gridCol w:w="1096"/>
        <w:gridCol w:w="1161"/>
        <w:gridCol w:w="1274"/>
        <w:gridCol w:w="1769"/>
        <w:gridCol w:w="608"/>
        <w:gridCol w:w="1107"/>
        <w:gridCol w:w="554"/>
        <w:gridCol w:w="1019"/>
      </w:tblGrid>
      <w:tr w14:paraId="6BBCC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7A16F49E">
            <w:pPr>
              <w:jc w:val="center"/>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序号</w:t>
            </w:r>
          </w:p>
        </w:tc>
        <w:tc>
          <w:tcPr>
            <w:tcW w:w="1096" w:type="dxa"/>
            <w:vAlign w:val="center"/>
          </w:tcPr>
          <w:p w14:paraId="14D4A785">
            <w:pPr>
              <w:jc w:val="center"/>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名称</w:t>
            </w:r>
          </w:p>
        </w:tc>
        <w:tc>
          <w:tcPr>
            <w:tcW w:w="1161" w:type="dxa"/>
            <w:vAlign w:val="center"/>
          </w:tcPr>
          <w:p w14:paraId="44ECF7D8">
            <w:pPr>
              <w:jc w:val="center"/>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品牌</w:t>
            </w:r>
          </w:p>
        </w:tc>
        <w:tc>
          <w:tcPr>
            <w:tcW w:w="1274" w:type="dxa"/>
            <w:tcBorders>
              <w:right w:val="single" w:color="auto" w:sz="4" w:space="0"/>
            </w:tcBorders>
            <w:vAlign w:val="center"/>
          </w:tcPr>
          <w:p w14:paraId="342B2209">
            <w:pPr>
              <w:jc w:val="center"/>
              <w:rPr>
                <w:rFonts w:hint="eastAsia" w:ascii="宋体" w:hAnsi="宋体" w:eastAsia="宋体" w:cs="宋体"/>
                <w:sz w:val="24"/>
                <w:szCs w:val="24"/>
                <w:lang w:val="en-US" w:eastAsia="zh-Hans" w:bidi="ar-SA"/>
              </w:rPr>
            </w:pPr>
            <w:bookmarkStart w:id="0" w:name="_Toc27392"/>
            <w:r>
              <w:rPr>
                <w:rFonts w:hint="eastAsia" w:ascii="宋体" w:hAnsi="宋体" w:eastAsia="宋体" w:cs="宋体"/>
                <w:sz w:val="24"/>
                <w:szCs w:val="24"/>
                <w:lang w:val="en-US" w:eastAsia="zh-Hans" w:bidi="ar-SA"/>
              </w:rPr>
              <w:t>规格型号</w:t>
            </w:r>
            <w:bookmarkEnd w:id="0"/>
          </w:p>
        </w:tc>
        <w:tc>
          <w:tcPr>
            <w:tcW w:w="1769" w:type="dxa"/>
            <w:tcBorders>
              <w:left w:val="single" w:color="auto" w:sz="4" w:space="0"/>
            </w:tcBorders>
            <w:vAlign w:val="center"/>
          </w:tcPr>
          <w:p w14:paraId="32F4485C">
            <w:pPr>
              <w:jc w:val="center"/>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生产厂家</w:t>
            </w:r>
          </w:p>
        </w:tc>
        <w:tc>
          <w:tcPr>
            <w:tcW w:w="608" w:type="dxa"/>
            <w:vAlign w:val="center"/>
          </w:tcPr>
          <w:p w14:paraId="7DD6F5BB">
            <w:pPr>
              <w:jc w:val="center"/>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产地</w:t>
            </w:r>
          </w:p>
        </w:tc>
        <w:tc>
          <w:tcPr>
            <w:tcW w:w="1107" w:type="dxa"/>
            <w:tcBorders>
              <w:right w:val="single" w:color="auto" w:sz="4" w:space="0"/>
            </w:tcBorders>
            <w:vAlign w:val="center"/>
          </w:tcPr>
          <w:p w14:paraId="6E369A8D">
            <w:pPr>
              <w:jc w:val="center"/>
              <w:rPr>
                <w:rFonts w:hint="eastAsia" w:ascii="宋体" w:hAnsi="宋体" w:eastAsia="宋体" w:cs="宋体"/>
                <w:sz w:val="24"/>
                <w:szCs w:val="24"/>
                <w:lang w:val="en-US" w:eastAsia="zh-Hans" w:bidi="ar-SA"/>
              </w:rPr>
            </w:pPr>
            <w:bookmarkStart w:id="1" w:name="_Toc14127"/>
            <w:r>
              <w:rPr>
                <w:rFonts w:hint="eastAsia" w:ascii="宋体" w:hAnsi="宋体" w:eastAsia="宋体" w:cs="宋体"/>
                <w:sz w:val="24"/>
                <w:szCs w:val="24"/>
                <w:lang w:val="en-US" w:eastAsia="zh-Hans" w:bidi="ar-SA"/>
              </w:rPr>
              <w:t>单价</w:t>
            </w:r>
            <w:bookmarkEnd w:id="1"/>
          </w:p>
        </w:tc>
        <w:tc>
          <w:tcPr>
            <w:tcW w:w="554" w:type="dxa"/>
            <w:tcBorders>
              <w:left w:val="single" w:color="auto" w:sz="4" w:space="0"/>
              <w:right w:val="single" w:color="auto" w:sz="4" w:space="0"/>
            </w:tcBorders>
            <w:vAlign w:val="center"/>
          </w:tcPr>
          <w:p w14:paraId="4192D224">
            <w:pPr>
              <w:jc w:val="center"/>
              <w:rPr>
                <w:rFonts w:hint="eastAsia" w:ascii="宋体" w:hAnsi="宋体" w:eastAsia="宋体" w:cs="宋体"/>
                <w:sz w:val="24"/>
                <w:szCs w:val="24"/>
                <w:lang w:val="en-US" w:eastAsia="zh-Hans" w:bidi="ar-SA"/>
              </w:rPr>
            </w:pPr>
            <w:bookmarkStart w:id="2" w:name="_Toc31109"/>
            <w:r>
              <w:rPr>
                <w:rFonts w:hint="eastAsia" w:ascii="宋体" w:hAnsi="宋体" w:eastAsia="宋体" w:cs="宋体"/>
                <w:sz w:val="24"/>
                <w:szCs w:val="24"/>
                <w:lang w:val="en-US" w:eastAsia="zh-Hans" w:bidi="ar-SA"/>
              </w:rPr>
              <w:t>数量</w:t>
            </w:r>
            <w:bookmarkEnd w:id="2"/>
          </w:p>
        </w:tc>
        <w:tc>
          <w:tcPr>
            <w:tcW w:w="1019" w:type="dxa"/>
            <w:vAlign w:val="center"/>
          </w:tcPr>
          <w:p w14:paraId="029EA49D">
            <w:pPr>
              <w:jc w:val="center"/>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总价</w:t>
            </w:r>
          </w:p>
        </w:tc>
      </w:tr>
      <w:tr w14:paraId="6BF3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27577B4D">
            <w:pPr>
              <w:widowControl/>
              <w:wordWrap/>
              <w:autoSpaceDE/>
              <w:autoSpaceDN/>
              <w:jc w:val="center"/>
              <w:textAlignment w:val="center"/>
              <w:rPr>
                <w:rFonts w:hint="eastAsia" w:ascii="宋体" w:hAnsi="宋体" w:eastAsia="宋体" w:cs="宋体"/>
                <w:sz w:val="24"/>
                <w:lang w:eastAsia="zh-CN"/>
              </w:rPr>
            </w:pPr>
            <w:r>
              <w:rPr>
                <w:rFonts w:hint="eastAsia" w:ascii="宋体" w:hAnsi="宋体" w:eastAsia="宋体" w:cs="宋体"/>
                <w:color w:val="000000"/>
                <w:kern w:val="0"/>
                <w:sz w:val="24"/>
                <w:lang w:eastAsia="zh-CN" w:bidi="ar"/>
              </w:rPr>
              <w:t>1</w:t>
            </w:r>
          </w:p>
        </w:tc>
        <w:tc>
          <w:tcPr>
            <w:tcW w:w="1096" w:type="dxa"/>
            <w:vAlign w:val="center"/>
          </w:tcPr>
          <w:p w14:paraId="79C36B00">
            <w:pPr>
              <w:widowControl/>
              <w:wordWrap/>
              <w:autoSpaceDE/>
              <w:autoSpaceDN/>
              <w:jc w:val="center"/>
              <w:textAlignment w:val="center"/>
              <w:rPr>
                <w:rFonts w:hint="eastAsia" w:ascii="宋体" w:hAnsi="宋体" w:eastAsia="宋体" w:cs="宋体"/>
                <w:sz w:val="24"/>
                <w:lang w:eastAsia="zh-CN"/>
              </w:rPr>
            </w:pPr>
          </w:p>
        </w:tc>
        <w:tc>
          <w:tcPr>
            <w:tcW w:w="1161" w:type="dxa"/>
            <w:vAlign w:val="center"/>
          </w:tcPr>
          <w:p w14:paraId="0167BFBA">
            <w:pPr>
              <w:widowControl/>
              <w:wordWrap/>
              <w:autoSpaceDE/>
              <w:autoSpaceDN/>
              <w:jc w:val="center"/>
              <w:textAlignment w:val="center"/>
              <w:rPr>
                <w:rFonts w:hint="eastAsia" w:ascii="宋体" w:hAnsi="宋体" w:eastAsia="宋体" w:cs="宋体"/>
                <w:sz w:val="24"/>
                <w:lang w:eastAsia="zh-CN"/>
              </w:rPr>
            </w:pPr>
          </w:p>
        </w:tc>
        <w:tc>
          <w:tcPr>
            <w:tcW w:w="1274" w:type="dxa"/>
            <w:tcBorders>
              <w:right w:val="single" w:color="auto" w:sz="4" w:space="0"/>
            </w:tcBorders>
            <w:vAlign w:val="center"/>
          </w:tcPr>
          <w:p w14:paraId="0594AE0D">
            <w:pPr>
              <w:widowControl/>
              <w:wordWrap/>
              <w:autoSpaceDE/>
              <w:autoSpaceDN/>
              <w:jc w:val="center"/>
              <w:textAlignment w:val="center"/>
              <w:rPr>
                <w:rFonts w:hint="eastAsia" w:ascii="宋体" w:hAnsi="宋体" w:eastAsia="宋体" w:cs="宋体"/>
                <w:sz w:val="24"/>
                <w:lang w:eastAsia="zh-CN"/>
              </w:rPr>
            </w:pPr>
          </w:p>
        </w:tc>
        <w:tc>
          <w:tcPr>
            <w:tcW w:w="1769" w:type="dxa"/>
            <w:tcBorders>
              <w:left w:val="single" w:color="auto" w:sz="4" w:space="0"/>
            </w:tcBorders>
            <w:vAlign w:val="center"/>
          </w:tcPr>
          <w:p w14:paraId="79B55707">
            <w:pPr>
              <w:widowControl/>
              <w:wordWrap/>
              <w:autoSpaceDE/>
              <w:autoSpaceDN/>
              <w:jc w:val="center"/>
              <w:textAlignment w:val="center"/>
              <w:rPr>
                <w:rFonts w:hint="eastAsia" w:ascii="宋体" w:hAnsi="宋体" w:eastAsia="宋体" w:cs="宋体"/>
                <w:sz w:val="24"/>
                <w:lang w:eastAsia="zh-CN"/>
              </w:rPr>
            </w:pPr>
          </w:p>
        </w:tc>
        <w:tc>
          <w:tcPr>
            <w:tcW w:w="608" w:type="dxa"/>
            <w:vAlign w:val="center"/>
          </w:tcPr>
          <w:p w14:paraId="39E8D180">
            <w:pPr>
              <w:widowControl/>
              <w:wordWrap/>
              <w:autoSpaceDE/>
              <w:autoSpaceDN/>
              <w:jc w:val="center"/>
              <w:textAlignment w:val="center"/>
              <w:rPr>
                <w:rFonts w:hint="eastAsia" w:ascii="宋体" w:hAnsi="宋体" w:eastAsia="宋体" w:cs="宋体"/>
                <w:sz w:val="24"/>
                <w:lang w:eastAsia="zh-CN"/>
              </w:rPr>
            </w:pPr>
          </w:p>
        </w:tc>
        <w:tc>
          <w:tcPr>
            <w:tcW w:w="1107" w:type="dxa"/>
            <w:tcBorders>
              <w:right w:val="single" w:color="auto" w:sz="4" w:space="0"/>
            </w:tcBorders>
            <w:vAlign w:val="center"/>
          </w:tcPr>
          <w:p w14:paraId="43F34C14">
            <w:pPr>
              <w:widowControl/>
              <w:wordWrap/>
              <w:autoSpaceDE/>
              <w:autoSpaceDN/>
              <w:jc w:val="center"/>
              <w:textAlignment w:val="center"/>
              <w:rPr>
                <w:rFonts w:hint="eastAsia" w:ascii="宋体" w:hAnsi="宋体" w:eastAsia="宋体" w:cs="宋体"/>
                <w:sz w:val="24"/>
                <w:lang w:eastAsia="zh-CN"/>
              </w:rPr>
            </w:pPr>
          </w:p>
        </w:tc>
        <w:tc>
          <w:tcPr>
            <w:tcW w:w="554" w:type="dxa"/>
            <w:tcBorders>
              <w:left w:val="single" w:color="auto" w:sz="4" w:space="0"/>
              <w:right w:val="single" w:color="auto" w:sz="4" w:space="0"/>
            </w:tcBorders>
            <w:vAlign w:val="center"/>
          </w:tcPr>
          <w:p w14:paraId="25B7F9F1">
            <w:pPr>
              <w:widowControl/>
              <w:wordWrap/>
              <w:autoSpaceDE/>
              <w:autoSpaceDN/>
              <w:jc w:val="center"/>
              <w:textAlignment w:val="center"/>
              <w:rPr>
                <w:rFonts w:hint="eastAsia" w:ascii="宋体" w:hAnsi="宋体" w:eastAsia="宋体" w:cs="宋体"/>
                <w:sz w:val="24"/>
                <w:lang w:eastAsia="zh-CN"/>
              </w:rPr>
            </w:pPr>
          </w:p>
        </w:tc>
        <w:tc>
          <w:tcPr>
            <w:tcW w:w="1019" w:type="dxa"/>
            <w:vAlign w:val="center"/>
          </w:tcPr>
          <w:p w14:paraId="51CB54C3">
            <w:pPr>
              <w:widowControl/>
              <w:wordWrap/>
              <w:autoSpaceDE/>
              <w:autoSpaceDN/>
              <w:jc w:val="center"/>
              <w:textAlignment w:val="center"/>
              <w:rPr>
                <w:rFonts w:hint="eastAsia" w:ascii="宋体" w:hAnsi="宋体" w:eastAsia="宋体" w:cs="宋体"/>
                <w:color w:val="000000"/>
                <w:kern w:val="0"/>
                <w:sz w:val="24"/>
                <w:lang w:eastAsia="zh-CN" w:bidi="ar"/>
              </w:rPr>
            </w:pPr>
          </w:p>
        </w:tc>
      </w:tr>
      <w:tr w14:paraId="1C160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0D56C6CA">
            <w:pPr>
              <w:widowControl/>
              <w:wordWrap/>
              <w:autoSpaceDE/>
              <w:autoSpaceDN/>
              <w:jc w:val="center"/>
              <w:textAlignment w:val="center"/>
              <w:rPr>
                <w:rFonts w:hint="eastAsia" w:ascii="宋体" w:hAnsi="宋体" w:eastAsia="宋体" w:cs="宋体"/>
                <w:sz w:val="24"/>
                <w:lang w:eastAsia="zh-CN"/>
              </w:rPr>
            </w:pPr>
            <w:r>
              <w:rPr>
                <w:rFonts w:hint="eastAsia" w:ascii="宋体" w:hAnsi="宋体" w:eastAsia="宋体" w:cs="宋体"/>
                <w:color w:val="000000"/>
                <w:kern w:val="0"/>
                <w:sz w:val="24"/>
                <w:lang w:eastAsia="zh-CN" w:bidi="ar"/>
              </w:rPr>
              <w:t>2</w:t>
            </w:r>
          </w:p>
        </w:tc>
        <w:tc>
          <w:tcPr>
            <w:tcW w:w="1096" w:type="dxa"/>
            <w:vAlign w:val="center"/>
          </w:tcPr>
          <w:p w14:paraId="50FA356F">
            <w:pPr>
              <w:widowControl/>
              <w:wordWrap/>
              <w:autoSpaceDE/>
              <w:autoSpaceDN/>
              <w:jc w:val="center"/>
              <w:textAlignment w:val="center"/>
              <w:rPr>
                <w:rFonts w:hint="eastAsia" w:ascii="宋体" w:hAnsi="宋体" w:eastAsia="宋体" w:cs="宋体"/>
                <w:sz w:val="24"/>
                <w:lang w:eastAsia="zh-CN"/>
              </w:rPr>
            </w:pPr>
          </w:p>
        </w:tc>
        <w:tc>
          <w:tcPr>
            <w:tcW w:w="1161" w:type="dxa"/>
            <w:vAlign w:val="center"/>
          </w:tcPr>
          <w:p w14:paraId="5109C580">
            <w:pPr>
              <w:widowControl/>
              <w:wordWrap/>
              <w:autoSpaceDE/>
              <w:autoSpaceDN/>
              <w:jc w:val="center"/>
              <w:textAlignment w:val="center"/>
              <w:rPr>
                <w:rFonts w:hint="eastAsia" w:ascii="宋体" w:hAnsi="宋体" w:eastAsia="宋体" w:cs="宋体"/>
                <w:sz w:val="24"/>
                <w:lang w:eastAsia="zh-CN"/>
              </w:rPr>
            </w:pPr>
          </w:p>
        </w:tc>
        <w:tc>
          <w:tcPr>
            <w:tcW w:w="1274" w:type="dxa"/>
            <w:tcBorders>
              <w:right w:val="single" w:color="auto" w:sz="4" w:space="0"/>
            </w:tcBorders>
            <w:vAlign w:val="center"/>
          </w:tcPr>
          <w:p w14:paraId="7D84EDE8">
            <w:pPr>
              <w:widowControl/>
              <w:wordWrap/>
              <w:autoSpaceDE/>
              <w:autoSpaceDN/>
              <w:jc w:val="center"/>
              <w:textAlignment w:val="center"/>
              <w:rPr>
                <w:rFonts w:hint="eastAsia" w:ascii="宋体" w:hAnsi="宋体" w:eastAsia="宋体" w:cs="宋体"/>
                <w:sz w:val="24"/>
                <w:lang w:eastAsia="zh-CN"/>
              </w:rPr>
            </w:pPr>
          </w:p>
        </w:tc>
        <w:tc>
          <w:tcPr>
            <w:tcW w:w="1769" w:type="dxa"/>
            <w:tcBorders>
              <w:left w:val="single" w:color="auto" w:sz="4" w:space="0"/>
            </w:tcBorders>
            <w:vAlign w:val="center"/>
          </w:tcPr>
          <w:p w14:paraId="6F327A09">
            <w:pPr>
              <w:widowControl/>
              <w:wordWrap/>
              <w:autoSpaceDE/>
              <w:autoSpaceDN/>
              <w:jc w:val="center"/>
              <w:textAlignment w:val="center"/>
              <w:rPr>
                <w:rFonts w:hint="eastAsia" w:ascii="宋体" w:hAnsi="宋体" w:eastAsia="宋体" w:cs="宋体"/>
                <w:sz w:val="24"/>
                <w:lang w:eastAsia="zh-CN"/>
              </w:rPr>
            </w:pPr>
          </w:p>
        </w:tc>
        <w:tc>
          <w:tcPr>
            <w:tcW w:w="608" w:type="dxa"/>
            <w:vAlign w:val="center"/>
          </w:tcPr>
          <w:p w14:paraId="203D2FB0">
            <w:pPr>
              <w:widowControl/>
              <w:wordWrap/>
              <w:autoSpaceDE/>
              <w:autoSpaceDN/>
              <w:jc w:val="center"/>
              <w:textAlignment w:val="center"/>
              <w:rPr>
                <w:rFonts w:hint="eastAsia" w:ascii="宋体" w:hAnsi="宋体" w:eastAsia="宋体" w:cs="宋体"/>
                <w:sz w:val="24"/>
                <w:lang w:eastAsia="zh-CN"/>
              </w:rPr>
            </w:pPr>
          </w:p>
        </w:tc>
        <w:tc>
          <w:tcPr>
            <w:tcW w:w="1107" w:type="dxa"/>
            <w:tcBorders>
              <w:right w:val="single" w:color="auto" w:sz="4" w:space="0"/>
            </w:tcBorders>
            <w:vAlign w:val="center"/>
          </w:tcPr>
          <w:p w14:paraId="30F6FF73">
            <w:pPr>
              <w:widowControl/>
              <w:wordWrap/>
              <w:autoSpaceDE/>
              <w:autoSpaceDN/>
              <w:jc w:val="center"/>
              <w:textAlignment w:val="center"/>
              <w:rPr>
                <w:rFonts w:hint="eastAsia" w:ascii="宋体" w:hAnsi="宋体" w:eastAsia="宋体" w:cs="宋体"/>
                <w:sz w:val="24"/>
                <w:lang w:eastAsia="zh-CN"/>
              </w:rPr>
            </w:pPr>
          </w:p>
        </w:tc>
        <w:tc>
          <w:tcPr>
            <w:tcW w:w="554" w:type="dxa"/>
            <w:tcBorders>
              <w:left w:val="single" w:color="auto" w:sz="4" w:space="0"/>
              <w:right w:val="single" w:color="auto" w:sz="4" w:space="0"/>
            </w:tcBorders>
            <w:vAlign w:val="center"/>
          </w:tcPr>
          <w:p w14:paraId="52896282">
            <w:pPr>
              <w:widowControl/>
              <w:wordWrap/>
              <w:autoSpaceDE/>
              <w:autoSpaceDN/>
              <w:jc w:val="center"/>
              <w:textAlignment w:val="center"/>
              <w:rPr>
                <w:rFonts w:hint="eastAsia" w:ascii="宋体" w:hAnsi="宋体" w:eastAsia="宋体" w:cs="宋体"/>
                <w:sz w:val="24"/>
                <w:lang w:eastAsia="zh-CN"/>
              </w:rPr>
            </w:pPr>
          </w:p>
        </w:tc>
        <w:tc>
          <w:tcPr>
            <w:tcW w:w="1019" w:type="dxa"/>
            <w:vAlign w:val="center"/>
          </w:tcPr>
          <w:p w14:paraId="70FEFEE2">
            <w:pPr>
              <w:widowControl/>
              <w:wordWrap/>
              <w:autoSpaceDE/>
              <w:autoSpaceDN/>
              <w:jc w:val="center"/>
              <w:textAlignment w:val="center"/>
              <w:rPr>
                <w:rFonts w:hint="eastAsia" w:ascii="宋体" w:hAnsi="宋体" w:eastAsia="宋体" w:cs="宋体"/>
                <w:color w:val="000000"/>
                <w:kern w:val="0"/>
                <w:sz w:val="24"/>
                <w:lang w:eastAsia="zh-CN" w:bidi="ar"/>
              </w:rPr>
            </w:pPr>
          </w:p>
        </w:tc>
      </w:tr>
      <w:tr w14:paraId="6463F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1DFA43B0">
            <w:pPr>
              <w:widowControl/>
              <w:wordWrap/>
              <w:autoSpaceDE/>
              <w:autoSpaceDN/>
              <w:jc w:val="center"/>
              <w:textAlignment w:val="center"/>
              <w:rPr>
                <w:rFonts w:hint="eastAsia" w:ascii="宋体" w:hAnsi="宋体" w:eastAsia="宋体" w:cs="宋体"/>
                <w:sz w:val="24"/>
                <w:lang w:eastAsia="zh-CN"/>
              </w:rPr>
            </w:pPr>
            <w:r>
              <w:rPr>
                <w:rFonts w:hint="eastAsia" w:ascii="宋体" w:hAnsi="宋体" w:eastAsia="宋体" w:cs="宋体"/>
                <w:color w:val="000000"/>
                <w:kern w:val="0"/>
                <w:sz w:val="24"/>
                <w:lang w:eastAsia="zh-CN" w:bidi="ar"/>
              </w:rPr>
              <w:t>3</w:t>
            </w:r>
          </w:p>
        </w:tc>
        <w:tc>
          <w:tcPr>
            <w:tcW w:w="1096" w:type="dxa"/>
            <w:vAlign w:val="center"/>
          </w:tcPr>
          <w:p w14:paraId="11BEABCF">
            <w:pPr>
              <w:widowControl/>
              <w:wordWrap/>
              <w:autoSpaceDE/>
              <w:autoSpaceDN/>
              <w:jc w:val="center"/>
              <w:textAlignment w:val="center"/>
              <w:rPr>
                <w:rFonts w:hint="eastAsia" w:ascii="宋体" w:hAnsi="宋体" w:eastAsia="宋体" w:cs="宋体"/>
                <w:sz w:val="24"/>
                <w:lang w:eastAsia="zh-CN"/>
              </w:rPr>
            </w:pPr>
          </w:p>
        </w:tc>
        <w:tc>
          <w:tcPr>
            <w:tcW w:w="1161" w:type="dxa"/>
            <w:vAlign w:val="center"/>
          </w:tcPr>
          <w:p w14:paraId="66177DEB">
            <w:pPr>
              <w:widowControl/>
              <w:wordWrap/>
              <w:autoSpaceDE/>
              <w:autoSpaceDN/>
              <w:jc w:val="center"/>
              <w:textAlignment w:val="center"/>
              <w:rPr>
                <w:rFonts w:hint="eastAsia" w:ascii="宋体" w:hAnsi="宋体" w:eastAsia="宋体" w:cs="宋体"/>
                <w:sz w:val="24"/>
                <w:lang w:eastAsia="zh-CN"/>
              </w:rPr>
            </w:pPr>
          </w:p>
        </w:tc>
        <w:tc>
          <w:tcPr>
            <w:tcW w:w="1274" w:type="dxa"/>
            <w:tcBorders>
              <w:right w:val="single" w:color="auto" w:sz="4" w:space="0"/>
            </w:tcBorders>
            <w:vAlign w:val="center"/>
          </w:tcPr>
          <w:p w14:paraId="10A9534C">
            <w:pPr>
              <w:widowControl/>
              <w:wordWrap/>
              <w:autoSpaceDE/>
              <w:autoSpaceDN/>
              <w:jc w:val="center"/>
              <w:textAlignment w:val="center"/>
              <w:rPr>
                <w:rFonts w:hint="eastAsia" w:ascii="宋体" w:hAnsi="宋体" w:eastAsia="宋体" w:cs="宋体"/>
                <w:sz w:val="24"/>
                <w:lang w:eastAsia="zh-CN"/>
              </w:rPr>
            </w:pPr>
          </w:p>
        </w:tc>
        <w:tc>
          <w:tcPr>
            <w:tcW w:w="1769" w:type="dxa"/>
            <w:tcBorders>
              <w:left w:val="single" w:color="auto" w:sz="4" w:space="0"/>
            </w:tcBorders>
            <w:vAlign w:val="center"/>
          </w:tcPr>
          <w:p w14:paraId="53E804EF">
            <w:pPr>
              <w:widowControl/>
              <w:wordWrap/>
              <w:autoSpaceDE/>
              <w:autoSpaceDN/>
              <w:jc w:val="center"/>
              <w:textAlignment w:val="center"/>
              <w:rPr>
                <w:rFonts w:hint="eastAsia" w:ascii="宋体" w:hAnsi="宋体" w:eastAsia="宋体" w:cs="宋体"/>
                <w:sz w:val="24"/>
                <w:lang w:eastAsia="zh-CN"/>
              </w:rPr>
            </w:pPr>
          </w:p>
        </w:tc>
        <w:tc>
          <w:tcPr>
            <w:tcW w:w="608" w:type="dxa"/>
            <w:vAlign w:val="center"/>
          </w:tcPr>
          <w:p w14:paraId="1BB58943">
            <w:pPr>
              <w:widowControl/>
              <w:wordWrap/>
              <w:autoSpaceDE/>
              <w:autoSpaceDN/>
              <w:jc w:val="center"/>
              <w:textAlignment w:val="center"/>
              <w:rPr>
                <w:rFonts w:hint="eastAsia" w:ascii="宋体" w:hAnsi="宋体" w:eastAsia="宋体" w:cs="宋体"/>
                <w:sz w:val="24"/>
                <w:lang w:eastAsia="zh-CN"/>
              </w:rPr>
            </w:pPr>
          </w:p>
        </w:tc>
        <w:tc>
          <w:tcPr>
            <w:tcW w:w="1107" w:type="dxa"/>
            <w:tcBorders>
              <w:right w:val="single" w:color="auto" w:sz="4" w:space="0"/>
            </w:tcBorders>
            <w:vAlign w:val="center"/>
          </w:tcPr>
          <w:p w14:paraId="0523D967">
            <w:pPr>
              <w:widowControl/>
              <w:wordWrap/>
              <w:autoSpaceDE/>
              <w:autoSpaceDN/>
              <w:jc w:val="center"/>
              <w:textAlignment w:val="center"/>
              <w:rPr>
                <w:rFonts w:hint="eastAsia" w:ascii="宋体" w:hAnsi="宋体" w:eastAsia="宋体" w:cs="宋体"/>
                <w:sz w:val="24"/>
                <w:lang w:eastAsia="zh-CN"/>
              </w:rPr>
            </w:pPr>
          </w:p>
        </w:tc>
        <w:tc>
          <w:tcPr>
            <w:tcW w:w="554" w:type="dxa"/>
            <w:tcBorders>
              <w:left w:val="single" w:color="auto" w:sz="4" w:space="0"/>
              <w:right w:val="single" w:color="auto" w:sz="4" w:space="0"/>
            </w:tcBorders>
            <w:vAlign w:val="center"/>
          </w:tcPr>
          <w:p w14:paraId="6F57FA7C">
            <w:pPr>
              <w:widowControl/>
              <w:wordWrap/>
              <w:autoSpaceDE/>
              <w:autoSpaceDN/>
              <w:jc w:val="center"/>
              <w:textAlignment w:val="center"/>
              <w:rPr>
                <w:rFonts w:hint="eastAsia" w:ascii="宋体" w:hAnsi="宋体" w:eastAsia="宋体" w:cs="宋体"/>
                <w:sz w:val="24"/>
                <w:lang w:eastAsia="zh-CN"/>
              </w:rPr>
            </w:pPr>
          </w:p>
        </w:tc>
        <w:tc>
          <w:tcPr>
            <w:tcW w:w="1019" w:type="dxa"/>
            <w:vAlign w:val="center"/>
          </w:tcPr>
          <w:p w14:paraId="65ECD9C6">
            <w:pPr>
              <w:widowControl/>
              <w:wordWrap/>
              <w:autoSpaceDE/>
              <w:autoSpaceDN/>
              <w:jc w:val="center"/>
              <w:textAlignment w:val="center"/>
              <w:rPr>
                <w:rFonts w:hint="eastAsia" w:ascii="宋体" w:hAnsi="宋体" w:eastAsia="宋体" w:cs="宋体"/>
                <w:color w:val="000000"/>
                <w:kern w:val="0"/>
                <w:sz w:val="24"/>
                <w:lang w:eastAsia="zh-CN" w:bidi="ar"/>
              </w:rPr>
            </w:pPr>
          </w:p>
        </w:tc>
      </w:tr>
      <w:tr w14:paraId="7B12B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4160B167">
            <w:pPr>
              <w:widowControl/>
              <w:wordWrap/>
              <w:autoSpaceDE/>
              <w:autoSpaceDN/>
              <w:jc w:val="center"/>
              <w:textAlignment w:val="center"/>
              <w:rPr>
                <w:rFonts w:hint="eastAsia" w:ascii="宋体" w:hAnsi="宋体" w:eastAsia="宋体" w:cs="宋体"/>
                <w:sz w:val="24"/>
                <w:lang w:eastAsia="zh-CN"/>
              </w:rPr>
            </w:pPr>
            <w:r>
              <w:rPr>
                <w:rFonts w:hint="eastAsia" w:ascii="宋体" w:hAnsi="宋体" w:eastAsia="宋体" w:cs="宋体"/>
                <w:color w:val="000000"/>
                <w:kern w:val="0"/>
                <w:sz w:val="24"/>
                <w:lang w:eastAsia="zh-CN" w:bidi="ar"/>
              </w:rPr>
              <w:t>4</w:t>
            </w:r>
          </w:p>
        </w:tc>
        <w:tc>
          <w:tcPr>
            <w:tcW w:w="1096" w:type="dxa"/>
            <w:vAlign w:val="center"/>
          </w:tcPr>
          <w:p w14:paraId="00589874">
            <w:pPr>
              <w:widowControl/>
              <w:wordWrap/>
              <w:autoSpaceDE/>
              <w:autoSpaceDN/>
              <w:jc w:val="center"/>
              <w:textAlignment w:val="center"/>
              <w:rPr>
                <w:rFonts w:hint="eastAsia" w:ascii="宋体" w:hAnsi="宋体" w:eastAsia="宋体" w:cs="宋体"/>
                <w:sz w:val="24"/>
                <w:lang w:eastAsia="zh-CN"/>
              </w:rPr>
            </w:pPr>
          </w:p>
        </w:tc>
        <w:tc>
          <w:tcPr>
            <w:tcW w:w="1161" w:type="dxa"/>
            <w:vAlign w:val="center"/>
          </w:tcPr>
          <w:p w14:paraId="3B4DA26D">
            <w:pPr>
              <w:widowControl/>
              <w:wordWrap/>
              <w:autoSpaceDE/>
              <w:autoSpaceDN/>
              <w:jc w:val="center"/>
              <w:textAlignment w:val="center"/>
              <w:rPr>
                <w:rFonts w:hint="eastAsia" w:ascii="宋体" w:hAnsi="宋体" w:eastAsia="宋体" w:cs="宋体"/>
                <w:sz w:val="24"/>
                <w:lang w:eastAsia="zh-CN"/>
              </w:rPr>
            </w:pPr>
          </w:p>
        </w:tc>
        <w:tc>
          <w:tcPr>
            <w:tcW w:w="1274" w:type="dxa"/>
            <w:tcBorders>
              <w:right w:val="single" w:color="auto" w:sz="4" w:space="0"/>
            </w:tcBorders>
            <w:vAlign w:val="center"/>
          </w:tcPr>
          <w:p w14:paraId="707B12DF">
            <w:pPr>
              <w:widowControl/>
              <w:wordWrap/>
              <w:autoSpaceDE/>
              <w:autoSpaceDN/>
              <w:jc w:val="center"/>
              <w:textAlignment w:val="center"/>
              <w:rPr>
                <w:rFonts w:hint="eastAsia" w:ascii="宋体" w:hAnsi="宋体" w:eastAsia="宋体" w:cs="宋体"/>
                <w:sz w:val="24"/>
                <w:lang w:eastAsia="zh-CN"/>
              </w:rPr>
            </w:pPr>
          </w:p>
        </w:tc>
        <w:tc>
          <w:tcPr>
            <w:tcW w:w="1769" w:type="dxa"/>
            <w:tcBorders>
              <w:left w:val="single" w:color="auto" w:sz="4" w:space="0"/>
            </w:tcBorders>
            <w:vAlign w:val="center"/>
          </w:tcPr>
          <w:p w14:paraId="343411D1">
            <w:pPr>
              <w:widowControl/>
              <w:wordWrap/>
              <w:autoSpaceDE/>
              <w:autoSpaceDN/>
              <w:jc w:val="center"/>
              <w:textAlignment w:val="center"/>
              <w:rPr>
                <w:rFonts w:hint="eastAsia" w:ascii="宋体" w:hAnsi="宋体" w:eastAsia="宋体" w:cs="宋体"/>
                <w:sz w:val="24"/>
                <w:lang w:eastAsia="zh-CN"/>
              </w:rPr>
            </w:pPr>
          </w:p>
        </w:tc>
        <w:tc>
          <w:tcPr>
            <w:tcW w:w="608" w:type="dxa"/>
            <w:vAlign w:val="center"/>
          </w:tcPr>
          <w:p w14:paraId="235624AF">
            <w:pPr>
              <w:widowControl/>
              <w:wordWrap/>
              <w:autoSpaceDE/>
              <w:autoSpaceDN/>
              <w:jc w:val="center"/>
              <w:textAlignment w:val="center"/>
              <w:rPr>
                <w:rFonts w:hint="eastAsia" w:ascii="宋体" w:hAnsi="宋体" w:eastAsia="宋体" w:cs="宋体"/>
                <w:sz w:val="24"/>
                <w:lang w:eastAsia="zh-CN"/>
              </w:rPr>
            </w:pPr>
          </w:p>
        </w:tc>
        <w:tc>
          <w:tcPr>
            <w:tcW w:w="1107" w:type="dxa"/>
            <w:tcBorders>
              <w:right w:val="single" w:color="auto" w:sz="4" w:space="0"/>
            </w:tcBorders>
            <w:vAlign w:val="center"/>
          </w:tcPr>
          <w:p w14:paraId="33EC9BA9">
            <w:pPr>
              <w:widowControl/>
              <w:wordWrap/>
              <w:autoSpaceDE/>
              <w:autoSpaceDN/>
              <w:jc w:val="center"/>
              <w:textAlignment w:val="center"/>
              <w:rPr>
                <w:rFonts w:hint="eastAsia" w:ascii="宋体" w:hAnsi="宋体" w:eastAsia="宋体" w:cs="宋体"/>
                <w:sz w:val="24"/>
                <w:lang w:eastAsia="zh-CN"/>
              </w:rPr>
            </w:pPr>
          </w:p>
        </w:tc>
        <w:tc>
          <w:tcPr>
            <w:tcW w:w="554" w:type="dxa"/>
            <w:tcBorders>
              <w:left w:val="single" w:color="auto" w:sz="4" w:space="0"/>
              <w:right w:val="single" w:color="auto" w:sz="4" w:space="0"/>
            </w:tcBorders>
            <w:vAlign w:val="center"/>
          </w:tcPr>
          <w:p w14:paraId="486C29E3">
            <w:pPr>
              <w:widowControl/>
              <w:wordWrap/>
              <w:autoSpaceDE/>
              <w:autoSpaceDN/>
              <w:jc w:val="center"/>
              <w:textAlignment w:val="center"/>
              <w:rPr>
                <w:rFonts w:hint="eastAsia" w:ascii="宋体" w:hAnsi="宋体" w:eastAsia="宋体" w:cs="宋体"/>
                <w:sz w:val="24"/>
                <w:lang w:eastAsia="zh-CN"/>
              </w:rPr>
            </w:pPr>
          </w:p>
        </w:tc>
        <w:tc>
          <w:tcPr>
            <w:tcW w:w="1019" w:type="dxa"/>
            <w:vAlign w:val="center"/>
          </w:tcPr>
          <w:p w14:paraId="3D1B9589">
            <w:pPr>
              <w:widowControl/>
              <w:wordWrap/>
              <w:autoSpaceDE/>
              <w:autoSpaceDN/>
              <w:jc w:val="center"/>
              <w:textAlignment w:val="center"/>
              <w:rPr>
                <w:rFonts w:hint="eastAsia" w:ascii="宋体" w:hAnsi="宋体" w:eastAsia="宋体" w:cs="宋体"/>
                <w:color w:val="000000"/>
                <w:kern w:val="0"/>
                <w:sz w:val="24"/>
                <w:lang w:eastAsia="zh-CN" w:bidi="ar"/>
              </w:rPr>
            </w:pPr>
          </w:p>
        </w:tc>
      </w:tr>
      <w:tr w14:paraId="50BA5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340EEEC4">
            <w:pPr>
              <w:widowControl/>
              <w:wordWrap/>
              <w:autoSpaceDE/>
              <w:autoSpaceDN/>
              <w:jc w:val="center"/>
              <w:textAlignment w:val="center"/>
              <w:rPr>
                <w:rFonts w:hint="eastAsia" w:ascii="宋体" w:hAnsi="宋体" w:eastAsia="宋体" w:cs="宋体"/>
                <w:sz w:val="24"/>
                <w:lang w:eastAsia="zh-CN"/>
              </w:rPr>
            </w:pPr>
            <w:r>
              <w:rPr>
                <w:rFonts w:hint="eastAsia" w:ascii="宋体" w:hAnsi="宋体" w:eastAsia="宋体" w:cs="宋体"/>
                <w:color w:val="000000"/>
                <w:kern w:val="0"/>
                <w:sz w:val="24"/>
                <w:lang w:eastAsia="zh-CN" w:bidi="ar"/>
              </w:rPr>
              <w:t>5</w:t>
            </w:r>
          </w:p>
        </w:tc>
        <w:tc>
          <w:tcPr>
            <w:tcW w:w="1096" w:type="dxa"/>
            <w:vAlign w:val="center"/>
          </w:tcPr>
          <w:p w14:paraId="7C44FD46">
            <w:pPr>
              <w:widowControl/>
              <w:wordWrap/>
              <w:autoSpaceDE/>
              <w:autoSpaceDN/>
              <w:jc w:val="center"/>
              <w:textAlignment w:val="center"/>
              <w:rPr>
                <w:rFonts w:hint="eastAsia" w:ascii="宋体" w:hAnsi="宋体" w:eastAsia="宋体" w:cs="宋体"/>
                <w:sz w:val="24"/>
                <w:lang w:eastAsia="zh-CN"/>
              </w:rPr>
            </w:pPr>
          </w:p>
        </w:tc>
        <w:tc>
          <w:tcPr>
            <w:tcW w:w="1161" w:type="dxa"/>
            <w:vAlign w:val="center"/>
          </w:tcPr>
          <w:p w14:paraId="3F50BCAF">
            <w:pPr>
              <w:widowControl/>
              <w:wordWrap/>
              <w:autoSpaceDE/>
              <w:autoSpaceDN/>
              <w:jc w:val="center"/>
              <w:textAlignment w:val="center"/>
              <w:rPr>
                <w:rFonts w:hint="eastAsia" w:ascii="宋体" w:hAnsi="宋体" w:eastAsia="宋体" w:cs="宋体"/>
                <w:sz w:val="24"/>
                <w:lang w:eastAsia="zh-CN"/>
              </w:rPr>
            </w:pPr>
          </w:p>
        </w:tc>
        <w:tc>
          <w:tcPr>
            <w:tcW w:w="1274" w:type="dxa"/>
            <w:tcBorders>
              <w:right w:val="single" w:color="auto" w:sz="4" w:space="0"/>
            </w:tcBorders>
            <w:vAlign w:val="center"/>
          </w:tcPr>
          <w:p w14:paraId="3933F4F2">
            <w:pPr>
              <w:widowControl/>
              <w:wordWrap/>
              <w:autoSpaceDE/>
              <w:autoSpaceDN/>
              <w:jc w:val="center"/>
              <w:textAlignment w:val="center"/>
              <w:rPr>
                <w:rFonts w:hint="eastAsia" w:ascii="宋体" w:hAnsi="宋体" w:eastAsia="宋体" w:cs="宋体"/>
                <w:sz w:val="24"/>
                <w:lang w:eastAsia="zh-CN"/>
              </w:rPr>
            </w:pPr>
          </w:p>
        </w:tc>
        <w:tc>
          <w:tcPr>
            <w:tcW w:w="1769" w:type="dxa"/>
            <w:tcBorders>
              <w:left w:val="single" w:color="auto" w:sz="4" w:space="0"/>
            </w:tcBorders>
            <w:vAlign w:val="center"/>
          </w:tcPr>
          <w:p w14:paraId="0B49730D">
            <w:pPr>
              <w:widowControl/>
              <w:wordWrap/>
              <w:autoSpaceDE/>
              <w:autoSpaceDN/>
              <w:jc w:val="center"/>
              <w:textAlignment w:val="center"/>
              <w:rPr>
                <w:rFonts w:hint="eastAsia" w:ascii="宋体" w:hAnsi="宋体" w:eastAsia="宋体" w:cs="宋体"/>
                <w:sz w:val="24"/>
                <w:lang w:eastAsia="zh-CN"/>
              </w:rPr>
            </w:pPr>
          </w:p>
        </w:tc>
        <w:tc>
          <w:tcPr>
            <w:tcW w:w="608" w:type="dxa"/>
            <w:vAlign w:val="center"/>
          </w:tcPr>
          <w:p w14:paraId="262035F3">
            <w:pPr>
              <w:widowControl/>
              <w:wordWrap/>
              <w:autoSpaceDE/>
              <w:autoSpaceDN/>
              <w:jc w:val="center"/>
              <w:textAlignment w:val="center"/>
              <w:rPr>
                <w:rFonts w:hint="eastAsia" w:ascii="宋体" w:hAnsi="宋体" w:eastAsia="宋体" w:cs="宋体"/>
                <w:sz w:val="24"/>
                <w:lang w:eastAsia="zh-CN"/>
              </w:rPr>
            </w:pPr>
          </w:p>
        </w:tc>
        <w:tc>
          <w:tcPr>
            <w:tcW w:w="1107" w:type="dxa"/>
            <w:tcBorders>
              <w:right w:val="single" w:color="auto" w:sz="4" w:space="0"/>
            </w:tcBorders>
            <w:vAlign w:val="center"/>
          </w:tcPr>
          <w:p w14:paraId="4FC44672">
            <w:pPr>
              <w:widowControl/>
              <w:wordWrap/>
              <w:autoSpaceDE/>
              <w:autoSpaceDN/>
              <w:jc w:val="center"/>
              <w:textAlignment w:val="center"/>
              <w:rPr>
                <w:rFonts w:hint="eastAsia" w:ascii="宋体" w:hAnsi="宋体" w:eastAsia="宋体" w:cs="宋体"/>
                <w:sz w:val="24"/>
                <w:lang w:eastAsia="zh-CN"/>
              </w:rPr>
            </w:pPr>
          </w:p>
        </w:tc>
        <w:tc>
          <w:tcPr>
            <w:tcW w:w="554" w:type="dxa"/>
            <w:tcBorders>
              <w:left w:val="single" w:color="auto" w:sz="4" w:space="0"/>
              <w:right w:val="single" w:color="auto" w:sz="4" w:space="0"/>
            </w:tcBorders>
            <w:vAlign w:val="center"/>
          </w:tcPr>
          <w:p w14:paraId="64C33973">
            <w:pPr>
              <w:widowControl/>
              <w:wordWrap/>
              <w:autoSpaceDE/>
              <w:autoSpaceDN/>
              <w:jc w:val="center"/>
              <w:textAlignment w:val="center"/>
              <w:rPr>
                <w:rFonts w:hint="eastAsia" w:ascii="宋体" w:hAnsi="宋体" w:eastAsia="宋体" w:cs="宋体"/>
                <w:sz w:val="24"/>
                <w:lang w:eastAsia="zh-CN"/>
              </w:rPr>
            </w:pPr>
          </w:p>
        </w:tc>
        <w:tc>
          <w:tcPr>
            <w:tcW w:w="1019" w:type="dxa"/>
            <w:vAlign w:val="center"/>
          </w:tcPr>
          <w:p w14:paraId="4A013F72">
            <w:pPr>
              <w:widowControl/>
              <w:wordWrap/>
              <w:autoSpaceDE/>
              <w:autoSpaceDN/>
              <w:jc w:val="center"/>
              <w:textAlignment w:val="center"/>
              <w:rPr>
                <w:rFonts w:hint="eastAsia" w:ascii="宋体" w:hAnsi="宋体" w:eastAsia="宋体" w:cs="宋体"/>
                <w:color w:val="000000"/>
                <w:kern w:val="0"/>
                <w:sz w:val="24"/>
                <w:lang w:eastAsia="zh-CN" w:bidi="ar"/>
              </w:rPr>
            </w:pPr>
          </w:p>
        </w:tc>
      </w:tr>
    </w:tbl>
    <w:p w14:paraId="33871C86">
      <w:pPr>
        <w:jc w:val="both"/>
        <w:rPr>
          <w:rFonts w:hint="default" w:ascii="Calibri" w:hAnsi="Calibri" w:eastAsia="宋体" w:cs="Times New Roman"/>
          <w:b/>
          <w:lang w:val="en-US" w:eastAsia="zh-Hans" w:bidi="ar-SA"/>
        </w:rPr>
      </w:pPr>
    </w:p>
    <w:p w14:paraId="657D4F28">
      <w:pPr>
        <w:keepNext w:val="0"/>
        <w:keepLines w:val="0"/>
        <w:pageBreakBefore w:val="0"/>
        <w:kinsoku/>
        <w:wordWrap/>
        <w:overflowPunct/>
        <w:topLinePunct w:val="0"/>
        <w:autoSpaceDE/>
        <w:autoSpaceDN/>
        <w:bidi w:val="0"/>
        <w:spacing w:line="360" w:lineRule="auto"/>
        <w:jc w:val="both"/>
        <w:textAlignment w:val="auto"/>
        <w:outlineLvl w:val="0"/>
        <w:rPr>
          <w:rFonts w:hint="eastAsia" w:ascii="宋体" w:hAnsi="宋体" w:eastAsia="宋体" w:cs="宋体"/>
          <w:b/>
          <w:sz w:val="24"/>
          <w:szCs w:val="24"/>
          <w:lang w:val="en-US" w:eastAsia="zh-Hans" w:bidi="ar-SA"/>
        </w:rPr>
      </w:pPr>
      <w:r>
        <w:rPr>
          <w:rFonts w:hint="eastAsia" w:ascii="宋体" w:hAnsi="宋体" w:eastAsia="宋体" w:cs="宋体"/>
          <w:b/>
          <w:sz w:val="24"/>
          <w:szCs w:val="24"/>
          <w:lang w:val="en-US" w:eastAsia="zh-Hans" w:bidi="ar-SA"/>
        </w:rPr>
        <w:t>八、项目实施或货物交付地点：采购人指定地点。</w:t>
      </w:r>
    </w:p>
    <w:p w14:paraId="08BC4562">
      <w:pPr>
        <w:keepNext w:val="0"/>
        <w:keepLines w:val="0"/>
        <w:pageBreakBefore w:val="0"/>
        <w:kinsoku/>
        <w:wordWrap/>
        <w:overflowPunct/>
        <w:topLinePunct w:val="0"/>
        <w:autoSpaceDE/>
        <w:autoSpaceDN/>
        <w:bidi w:val="0"/>
        <w:spacing w:line="360" w:lineRule="auto"/>
        <w:jc w:val="both"/>
        <w:textAlignment w:val="auto"/>
        <w:outlineLvl w:val="0"/>
        <w:rPr>
          <w:rFonts w:hint="eastAsia" w:ascii="宋体" w:hAnsi="宋体" w:eastAsia="宋体" w:cs="宋体"/>
          <w:b/>
          <w:sz w:val="24"/>
          <w:szCs w:val="24"/>
          <w:lang w:val="en-US" w:eastAsia="zh-Hans" w:bidi="ar-SA"/>
        </w:rPr>
      </w:pPr>
      <w:r>
        <w:rPr>
          <w:rFonts w:hint="eastAsia" w:ascii="宋体" w:hAnsi="宋体" w:eastAsia="宋体" w:cs="宋体"/>
          <w:b/>
          <w:sz w:val="24"/>
          <w:szCs w:val="24"/>
          <w:lang w:val="en-US" w:eastAsia="zh-Hans" w:bidi="ar-SA"/>
        </w:rPr>
        <w:t>九、验收标准和方法</w:t>
      </w:r>
    </w:p>
    <w:p w14:paraId="033C0D0E">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投标文件等进行检查，确认是否符合初步验收标准。所验设备或部件不符合初步验收标准时，不得进行安装，供应商必须</w:t>
      </w:r>
      <w:r>
        <w:rPr>
          <w:rFonts w:hint="eastAsia" w:ascii="宋体" w:hAnsi="宋体" w:eastAsia="宋体" w:cs="宋体"/>
          <w:sz w:val="24"/>
          <w:szCs w:val="24"/>
          <w:lang w:val="en-US" w:eastAsia="zh-CN" w:bidi="ar-SA"/>
        </w:rPr>
        <w:t>无条件</w:t>
      </w:r>
      <w:r>
        <w:rPr>
          <w:rFonts w:hint="eastAsia" w:ascii="宋体" w:hAnsi="宋体" w:eastAsia="宋体" w:cs="宋体"/>
          <w:sz w:val="24"/>
          <w:szCs w:val="24"/>
          <w:lang w:val="en-US" w:eastAsia="zh-Hans" w:bidi="ar-SA"/>
        </w:rPr>
        <w:t>更换或退货，并承担所有相关责任及费用，以及逾期交付的违约责任。</w:t>
      </w:r>
    </w:p>
    <w:p w14:paraId="25F2BA8C">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w:t>
      </w:r>
      <w:r>
        <w:rPr>
          <w:rFonts w:hint="eastAsia" w:ascii="宋体" w:hAnsi="宋体" w:eastAsia="宋体" w:cs="宋体"/>
          <w:sz w:val="24"/>
          <w:szCs w:val="24"/>
          <w:lang w:val="en-US" w:eastAsia="zh-CN" w:bidi="ar-SA"/>
        </w:rPr>
        <w:t>无条件</w:t>
      </w:r>
      <w:r>
        <w:rPr>
          <w:rFonts w:hint="eastAsia" w:ascii="宋体" w:hAnsi="宋体" w:eastAsia="宋体" w:cs="宋体"/>
          <w:sz w:val="24"/>
          <w:szCs w:val="24"/>
          <w:lang w:val="en-US" w:eastAsia="zh-Hans" w:bidi="ar-SA"/>
        </w:rPr>
        <w:t>更换或退货，并承担所有相关费用，以及逾期交付的违约责任。</w:t>
      </w:r>
    </w:p>
    <w:p w14:paraId="52D9D604">
      <w:pPr>
        <w:keepNext w:val="0"/>
        <w:keepLines w:val="0"/>
        <w:pageBreakBefore w:val="0"/>
        <w:kinsoku/>
        <w:wordWrap/>
        <w:overflowPunct/>
        <w:topLinePunct w:val="0"/>
        <w:autoSpaceDE/>
        <w:autoSpaceDN/>
        <w:bidi w:val="0"/>
        <w:spacing w:line="360" w:lineRule="auto"/>
        <w:jc w:val="both"/>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整机验收合格后，供应商提交经使用部门签字认可的培训记录（1份）、加盖公章的售后服务承诺书（3份），并填写《西安市市级单位政府采购合同履约验收单》（4份），方视为最终通过验收，最终验收合格之日起计算质保期。</w:t>
      </w:r>
    </w:p>
    <w:p w14:paraId="4CD0AFF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质保期内，若存在质量、服务问题，供应商应当按照投标文件中承诺的条款及时进行处理。</w:t>
      </w:r>
    </w:p>
    <w:p w14:paraId="6C01914F">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若发现供应商弄虚作假，在招投标阶段故意或随意夸大所投产品技术参数、产品性能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w:t>
      </w:r>
    </w:p>
    <w:p w14:paraId="519BEC7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履约验收标准：</w:t>
      </w:r>
    </w:p>
    <w:p w14:paraId="0565A88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①合同文本；</w:t>
      </w:r>
    </w:p>
    <w:p w14:paraId="10422B00">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②投标文件及澄清函、招标文件；</w:t>
      </w:r>
    </w:p>
    <w:p w14:paraId="30C986E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③国家和行业、企业制定的相应标准和规范；</w:t>
      </w:r>
    </w:p>
    <w:p w14:paraId="7B07959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Hans" w:bidi="ar-SA"/>
        </w:rPr>
        <w:t xml:space="preserve">    ④</w:t>
      </w:r>
      <w:r>
        <w:rPr>
          <w:rFonts w:hint="eastAsia" w:ascii="宋体" w:hAnsi="宋体" w:eastAsia="宋体" w:cs="宋体"/>
          <w:sz w:val="24"/>
          <w:szCs w:val="24"/>
          <w:lang w:val="en-US" w:eastAsia="zh-CN" w:bidi="ar-SA"/>
        </w:rPr>
        <w:t>涉及的</w:t>
      </w:r>
      <w:r>
        <w:rPr>
          <w:rFonts w:hint="eastAsia" w:ascii="宋体" w:hAnsi="宋体" w:eastAsia="宋体" w:cs="宋体"/>
          <w:sz w:val="24"/>
          <w:szCs w:val="24"/>
          <w:lang w:val="en-US" w:eastAsia="zh-Hans" w:bidi="ar-SA"/>
        </w:rPr>
        <w:t>计量技术规范的要求（所列规范标准如有更新，以最新规范标准执行）等</w:t>
      </w:r>
      <w:r>
        <w:rPr>
          <w:rFonts w:hint="eastAsia" w:ascii="宋体" w:hAnsi="宋体" w:eastAsia="宋体" w:cs="宋体"/>
          <w:sz w:val="24"/>
          <w:szCs w:val="24"/>
          <w:lang w:val="en-US" w:eastAsia="zh-CN" w:bidi="ar-SA"/>
        </w:rPr>
        <w:t>；</w:t>
      </w:r>
    </w:p>
    <w:p w14:paraId="55C6968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⑤产品清单（注明品名、数量、规格和原产地或生产厂家，包括部件）</w:t>
      </w:r>
      <w:r>
        <w:rPr>
          <w:rFonts w:hint="eastAsia" w:ascii="宋体" w:hAnsi="宋体" w:eastAsia="宋体" w:cs="宋体"/>
          <w:sz w:val="24"/>
          <w:szCs w:val="24"/>
          <w:lang w:val="en-US" w:eastAsia="zh-CN" w:bidi="ar-SA"/>
        </w:rPr>
        <w:t>，涉及电子类所有设备须为安全可靠产品</w:t>
      </w:r>
      <w:r>
        <w:rPr>
          <w:rFonts w:hint="eastAsia" w:ascii="宋体" w:hAnsi="宋体" w:eastAsia="宋体" w:cs="宋体"/>
          <w:sz w:val="24"/>
          <w:szCs w:val="24"/>
          <w:lang w:val="en-US" w:eastAsia="zh-Hans" w:bidi="ar-SA"/>
        </w:rPr>
        <w:t>。</w:t>
      </w:r>
    </w:p>
    <w:p w14:paraId="74842BF3">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sz w:val="24"/>
          <w:lang w:eastAsia="zh-CN"/>
        </w:rPr>
      </w:pPr>
      <w:r>
        <w:rPr>
          <w:rFonts w:hint="eastAsia" w:ascii="宋体" w:hAnsi="宋体" w:eastAsia="宋体" w:cs="宋体"/>
          <w:b/>
          <w:sz w:val="24"/>
          <w:lang w:eastAsia="zh-CN"/>
        </w:rPr>
        <w:t>十、包装、运输</w:t>
      </w:r>
      <w:r>
        <w:rPr>
          <w:rFonts w:ascii="宋体" w:hAnsi="宋体" w:eastAsia="宋体" w:cs="宋体"/>
          <w:b/>
          <w:sz w:val="24"/>
          <w:lang w:eastAsia="zh-CN"/>
        </w:rPr>
        <w:t>、调试</w:t>
      </w:r>
    </w:p>
    <w:p w14:paraId="55D0FC1D">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1、包装：产品包装应采取防潮、防晒、防腐蚀、防震动及防止其他损坏的必要措施。供应商应承担由于其包装或防护措施不妥而引起的货物锈蚀、损坏和丢失等任何损失造成的责任或费用；</w:t>
      </w:r>
    </w:p>
    <w:p w14:paraId="71D2BF1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2、运输：运杂费一次包死在总价内，包括</w:t>
      </w:r>
      <w:r>
        <w:rPr>
          <w:rFonts w:hint="eastAsia" w:ascii="宋体" w:hAnsi="宋体" w:eastAsia="宋体" w:cs="宋体"/>
          <w:sz w:val="24"/>
          <w:szCs w:val="24"/>
          <w:lang w:val="en-US" w:eastAsia="zh-CN" w:bidi="ar-SA"/>
        </w:rPr>
        <w:t>并不限于</w:t>
      </w:r>
      <w:r>
        <w:rPr>
          <w:rFonts w:hint="eastAsia" w:ascii="宋体" w:hAnsi="宋体" w:eastAsia="宋体" w:cs="宋体"/>
          <w:sz w:val="24"/>
          <w:szCs w:val="24"/>
          <w:lang w:val="en-US" w:eastAsia="zh-Hans" w:bidi="ar-SA"/>
        </w:rPr>
        <w:t>生产厂到施工现场所需的装卸、运输（含保险费）、现场保管费、二次倒运费、吊装费等费用；</w:t>
      </w:r>
    </w:p>
    <w:p w14:paraId="4195E48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3、调试：供应商负责安装和调试，包括并不限于铺设、安装、改造水电管路等所有环境设施，确保设备能够正常运行，并达到合同中规定的技术要求及产品性能；</w:t>
      </w:r>
    </w:p>
    <w:p w14:paraId="3075FCF4">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4、供应商应对运输、搬运、安装、调试等实施过程的安全负责，如发生人身伤亡、财产损失的由供应商负责解决并承担全部责任及费用；</w:t>
      </w:r>
    </w:p>
    <w:p w14:paraId="5D4BF41D">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5、所有产品在运输、搬运、安装、调试的过程中，造成采购人损失的，由供应商承担全部责任并赔偿费用；</w:t>
      </w:r>
    </w:p>
    <w:p w14:paraId="42FD9AA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6、合同所约定的货物及配套设备交付采购人验收合格前的风险由供应商承担，采购人承担验收合格接收后的风险。</w:t>
      </w:r>
    </w:p>
    <w:p w14:paraId="35C74A2E">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sz w:val="24"/>
          <w:lang w:eastAsia="zh-CN"/>
        </w:rPr>
      </w:pPr>
      <w:r>
        <w:rPr>
          <w:rFonts w:hint="eastAsia" w:ascii="宋体" w:hAnsi="宋体" w:eastAsia="宋体" w:cs="宋体"/>
          <w:b/>
          <w:sz w:val="24"/>
          <w:lang w:eastAsia="zh-CN"/>
        </w:rPr>
        <w:t>十一、培训</w:t>
      </w:r>
    </w:p>
    <w:p w14:paraId="431F9512">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1、至少包括产品使用操作、保养、维修等培训内容。在设备投入使用前，供应商应按采购人要求</w:t>
      </w:r>
      <w:r>
        <w:rPr>
          <w:rFonts w:hint="eastAsia" w:ascii="宋体" w:hAnsi="宋体" w:eastAsia="宋体" w:cs="宋体"/>
          <w:sz w:val="24"/>
          <w:szCs w:val="24"/>
          <w:lang w:val="en-US" w:eastAsia="zh-CN" w:bidi="ar-SA"/>
        </w:rPr>
        <w:t>无条件</w:t>
      </w:r>
      <w:r>
        <w:rPr>
          <w:rFonts w:hint="eastAsia" w:ascii="宋体" w:hAnsi="宋体" w:eastAsia="宋体" w:cs="宋体"/>
          <w:sz w:val="24"/>
          <w:szCs w:val="24"/>
          <w:lang w:val="en-US" w:eastAsia="zh-Hans" w:bidi="ar-SA"/>
        </w:rPr>
        <w:t>培训技术人员若干名，培训服务以受培训人员熟练掌握相应技能为原则。使用初期进行必要的跟踪指导，保证设备的稳定运行；</w:t>
      </w:r>
    </w:p>
    <w:p w14:paraId="0CEBF0D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2、产品需在培训基地培训的，供应商应按要求履行，采购人指派人员因参加培训所产生的交通费、食宿费、培训费等均由供应商承担；</w:t>
      </w:r>
    </w:p>
    <w:p w14:paraId="3A508E8E">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3、供应商应提供书面培训记录，并经受培训人员签字确认。</w:t>
      </w:r>
    </w:p>
    <w:p w14:paraId="58EE56D2">
      <w:pPr>
        <w:wordWrap/>
        <w:autoSpaceDE/>
        <w:autoSpaceDN/>
        <w:adjustRightInd w:val="0"/>
        <w:snapToGrid w:val="0"/>
        <w:spacing w:line="360" w:lineRule="auto"/>
        <w:outlineLvl w:val="0"/>
        <w:rPr>
          <w:rFonts w:hint="eastAsia" w:ascii="宋体" w:hAnsi="宋体" w:eastAsia="宋体" w:cs="宋体"/>
          <w:b/>
          <w:sz w:val="24"/>
          <w:lang w:eastAsia="zh-CN"/>
        </w:rPr>
      </w:pPr>
      <w:r>
        <w:rPr>
          <w:rFonts w:hint="eastAsia" w:ascii="宋体" w:hAnsi="宋体" w:eastAsia="宋体" w:cs="宋体"/>
          <w:b/>
          <w:sz w:val="24"/>
          <w:lang w:eastAsia="zh-CN"/>
        </w:rPr>
        <w:t>十二、技术资料</w:t>
      </w:r>
    </w:p>
    <w:p w14:paraId="475E1238">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供应商应向采购人提供全套中文技术资料一套，其费用包括在合同总价款中：</w:t>
      </w:r>
    </w:p>
    <w:p w14:paraId="3C867A5F">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1、完整的产品操作使用手册、说明书和维护、修理技术文件、图纸、保修卡等；</w:t>
      </w:r>
    </w:p>
    <w:p w14:paraId="0031FD9E">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2、制造厂的检验、测试报告、产品检验合格证书</w:t>
      </w:r>
      <w:r>
        <w:rPr>
          <w:rFonts w:hint="eastAsia" w:ascii="宋体" w:hAnsi="宋体" w:eastAsia="宋体" w:cs="宋体"/>
          <w:sz w:val="24"/>
          <w:szCs w:val="24"/>
          <w:lang w:val="en-US" w:eastAsia="zh-CN" w:bidi="ar-SA"/>
        </w:rPr>
        <w:t>、产品检定、校准证书</w:t>
      </w:r>
      <w:r>
        <w:rPr>
          <w:rFonts w:hint="eastAsia" w:ascii="宋体" w:hAnsi="宋体" w:eastAsia="宋体" w:cs="宋体"/>
          <w:sz w:val="24"/>
          <w:szCs w:val="24"/>
          <w:lang w:val="en-US" w:eastAsia="zh-Hans" w:bidi="ar-SA"/>
        </w:rPr>
        <w:t>等；</w:t>
      </w:r>
    </w:p>
    <w:p w14:paraId="24C59B2A">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3、产品的执行标准；</w:t>
      </w:r>
    </w:p>
    <w:p w14:paraId="6E9BBDBE">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4、进口产品需要提供报关单、关税缴纳凭证；</w:t>
      </w:r>
    </w:p>
    <w:p w14:paraId="2CCFA408">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5、其他文件资料等。</w:t>
      </w:r>
    </w:p>
    <w:p w14:paraId="59033CD8">
      <w:pPr>
        <w:keepNext w:val="0"/>
        <w:keepLines w:val="0"/>
        <w:pageBreakBefore w:val="0"/>
        <w:wordWrap/>
        <w:overflowPunct/>
        <w:topLinePunct w:val="0"/>
        <w:autoSpaceDE/>
        <w:autoSpaceDN/>
        <w:bidi w:val="0"/>
        <w:adjustRightInd w:val="0"/>
        <w:snapToGrid w:val="0"/>
        <w:spacing w:line="360" w:lineRule="auto"/>
        <w:outlineLvl w:val="0"/>
        <w:rPr>
          <w:rFonts w:hint="eastAsia" w:ascii="宋体" w:hAnsi="宋体" w:eastAsia="宋体" w:cs="宋体"/>
          <w:b/>
          <w:sz w:val="24"/>
          <w:lang w:eastAsia="zh-CN"/>
        </w:rPr>
      </w:pPr>
      <w:r>
        <w:rPr>
          <w:rFonts w:hint="eastAsia" w:ascii="宋体" w:hAnsi="宋体" w:eastAsia="宋体" w:cs="宋体"/>
          <w:b/>
          <w:sz w:val="24"/>
          <w:lang w:eastAsia="zh-CN"/>
        </w:rPr>
        <w:t>十三、质量保证</w:t>
      </w:r>
    </w:p>
    <w:p w14:paraId="7C7731EC">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1、供应商提供的产品及材料必须保证质量可靠，为市场最新或主流产品，进货渠道正常，配置合理齐全，应全面满足要求，未明确要求的内容，须按产品主流标准配置或以采购人的补充要求为准。所供产品工艺质量应严格按国家最新发布的规范标准执行，如发生质量问题由供应商承担全部责任；</w:t>
      </w:r>
    </w:p>
    <w:p w14:paraId="24DAFDFA">
      <w:pPr>
        <w:keepNext w:val="0"/>
        <w:keepLines w:val="0"/>
        <w:pageBreakBefore w:val="0"/>
        <w:wordWrap/>
        <w:overflowPunct/>
        <w:topLinePunct w:val="0"/>
        <w:bidi w:val="0"/>
        <w:spacing w:line="360" w:lineRule="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2、供应商应保证合同项下所供产品是供应商响应和本合同约定的厂家和产地生产的，全新未使用过的，并完全符合合同规定的质量、规格等要求；</w:t>
      </w:r>
    </w:p>
    <w:p w14:paraId="3ADDCD1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Calibri" w:hAnsi="Calibri" w:cs="Times New Roman"/>
          <w:sz w:val="21"/>
          <w:lang w:eastAsia="zh-CN"/>
        </w:rPr>
      </w:pPr>
      <w:r>
        <w:rPr>
          <w:rFonts w:ascii="宋体" w:hAnsi="宋体" w:eastAsia="宋体" w:cs="宋体"/>
          <w:sz w:val="24"/>
          <w:lang w:eastAsia="zh-CN"/>
        </w:rPr>
        <w:t xml:space="preserve">    3、采购人使用产品过程中因产品质量、产品缺陷及安装质量等造成人身伤亡、财产损失的，由供应商负责解决并承担全部责任。</w:t>
      </w:r>
    </w:p>
    <w:p w14:paraId="5F81D39D">
      <w:pPr>
        <w:rPr>
          <w:rFonts w:hint="eastAsia" w:ascii="宋体" w:hAnsi="宋体" w:eastAsia="宋体" w:cs="宋体"/>
          <w:sz w:val="24"/>
          <w:szCs w:val="24"/>
          <w:lang w:val="en-US" w:eastAsia="zh-Hans" w:bidi="ar-SA"/>
        </w:rPr>
      </w:pPr>
    </w:p>
    <w:p w14:paraId="64C106D0">
      <w:pPr>
        <w:wordWrap/>
        <w:autoSpaceDE/>
        <w:autoSpaceDN/>
        <w:adjustRightInd w:val="0"/>
        <w:snapToGrid w:val="0"/>
        <w:spacing w:line="360" w:lineRule="auto"/>
        <w:outlineLvl w:val="0"/>
        <w:rPr>
          <w:rFonts w:hint="eastAsia" w:ascii="宋体" w:hAnsi="宋体" w:eastAsia="宋体" w:cs="宋体"/>
          <w:b/>
          <w:sz w:val="24"/>
          <w:lang w:eastAsia="zh-CN"/>
        </w:rPr>
      </w:pPr>
      <w:r>
        <w:rPr>
          <w:rFonts w:hint="eastAsia" w:ascii="宋体" w:hAnsi="宋体" w:eastAsia="宋体" w:cs="宋体"/>
          <w:b/>
          <w:sz w:val="24"/>
          <w:lang w:eastAsia="zh-CN"/>
        </w:rPr>
        <w:t>十四、售后服务（提供售后服务承诺书）</w:t>
      </w:r>
    </w:p>
    <w:p w14:paraId="3B28F955">
      <w:pPr>
        <w:widowControl w:val="0"/>
        <w:spacing w:line="360" w:lineRule="auto"/>
        <w:jc w:val="left"/>
        <w:outlineLvl w:val="9"/>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1、供应商应提供可承担维修职能的公司或全资子或分公司或办事处，并驻守多名维护技术人员，并提供售后服务地点、联系人（常驻工程师）及联系电话（服务热线），随时解答各种疑问、提供技术支持；</w:t>
      </w:r>
    </w:p>
    <w:p w14:paraId="2124BFFC">
      <w:pPr>
        <w:keepNext w:val="0"/>
        <w:keepLines w:val="0"/>
        <w:pageBreakBefore w:val="0"/>
        <w:widowControl w:val="0"/>
        <w:kinsoku/>
        <w:wordWrap/>
        <w:overflowPunct/>
        <w:topLinePunct w:val="0"/>
        <w:autoSpaceDE/>
        <w:autoSpaceDN/>
        <w:bidi w:val="0"/>
        <w:spacing w:line="360" w:lineRule="auto"/>
        <w:jc w:val="left"/>
        <w:textAlignment w:val="auto"/>
        <w:outlineLvl w:val="9"/>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服务方式：现场＋远程服务，响应时间为全年7×24小时；</w:t>
      </w:r>
    </w:p>
    <w:p w14:paraId="49A8F2B6">
      <w:pPr>
        <w:keepNext w:val="0"/>
        <w:keepLines w:val="0"/>
        <w:pageBreakBefore w:val="0"/>
        <w:widowControl w:val="0"/>
        <w:kinsoku/>
        <w:wordWrap/>
        <w:overflowPunct/>
        <w:topLinePunct w:val="0"/>
        <w:autoSpaceDE/>
        <w:autoSpaceDN/>
        <w:bidi w:val="0"/>
        <w:spacing w:line="360" w:lineRule="auto"/>
        <w:jc w:val="left"/>
        <w:textAlignment w:val="auto"/>
        <w:outlineLvl w:val="9"/>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2、软件由厂家无条件提供免费终身维护和系统升级；</w:t>
      </w:r>
    </w:p>
    <w:p w14:paraId="708D0F1E">
      <w:pPr>
        <w:keepNext w:val="0"/>
        <w:keepLines w:val="0"/>
        <w:pageBreakBefore w:val="0"/>
        <w:widowControl w:val="0"/>
        <w:kinsoku/>
        <w:wordWrap/>
        <w:overflowPunct/>
        <w:topLinePunct w:val="0"/>
        <w:autoSpaceDE/>
        <w:autoSpaceDN/>
        <w:bidi w:val="0"/>
        <w:spacing w:line="360" w:lineRule="auto"/>
        <w:jc w:val="left"/>
        <w:textAlignment w:val="auto"/>
        <w:outlineLvl w:val="9"/>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 xml:space="preserve">    3、质保期：</w:t>
      </w:r>
    </w:p>
    <w:p w14:paraId="20F1BE7D">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①质保期内出现质量问题或发生故障，供应商应按采购人的要求</w:t>
      </w:r>
      <w:r>
        <w:rPr>
          <w:rFonts w:hint="eastAsia" w:ascii="宋体" w:hAnsi="宋体" w:eastAsia="宋体" w:cs="宋体"/>
          <w:sz w:val="24"/>
          <w:szCs w:val="24"/>
          <w:lang w:val="en-US" w:eastAsia="zh-CN" w:bidi="ar-SA"/>
        </w:rPr>
        <w:t>无条件</w:t>
      </w:r>
      <w:r>
        <w:rPr>
          <w:rFonts w:hint="eastAsia" w:ascii="宋体" w:hAnsi="宋体" w:eastAsia="宋体" w:cs="宋体"/>
          <w:sz w:val="24"/>
          <w:szCs w:val="24"/>
          <w:lang w:val="en-US" w:eastAsia="zh-Hans" w:bidi="ar-SA"/>
        </w:rPr>
        <w:t>更换或维修，响应时间≤2小时，产生的所有费用均有供应商承担；</w:t>
      </w:r>
    </w:p>
    <w:p w14:paraId="1670D62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②若采购人认为故障不能远程解决时，维修工程师抵达现场时间≤12小时；</w:t>
      </w:r>
    </w:p>
    <w:p w14:paraId="00CC4754">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③若故障在24小时内无法排除时，供应商必须向采购人提供书面报告，包括故障原因及分析、处理措施、解决时间；</w:t>
      </w:r>
    </w:p>
    <w:p w14:paraId="79124332">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④若解决故障时间超过48小时，采购人有权自行委托第三方进行维修，所产生的费用由供应商承担；</w:t>
      </w:r>
    </w:p>
    <w:p w14:paraId="13213E2F">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⑤质保期到期前，由供应商</w:t>
      </w:r>
      <w:r>
        <w:rPr>
          <w:rFonts w:hint="eastAsia" w:ascii="宋体" w:hAnsi="宋体" w:eastAsia="宋体" w:cs="宋体"/>
          <w:sz w:val="24"/>
          <w:szCs w:val="24"/>
          <w:lang w:val="en-US" w:eastAsia="zh-CN" w:bidi="ar-SA"/>
        </w:rPr>
        <w:t>无条件</w:t>
      </w:r>
      <w:r>
        <w:rPr>
          <w:rFonts w:hint="eastAsia" w:ascii="宋体" w:hAnsi="宋体" w:eastAsia="宋体" w:cs="宋体"/>
          <w:sz w:val="24"/>
          <w:szCs w:val="24"/>
          <w:lang w:val="en-US" w:eastAsia="zh-Hans" w:bidi="ar-SA"/>
        </w:rPr>
        <w:t>对所供产品进行全面维护保养，确保设备处于正常运行状态；</w:t>
      </w:r>
    </w:p>
    <w:p w14:paraId="7FCF234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⑥质保期内若出现更换产品或主要部件的情况，应重新进行检定或校准并验收，产生的所有费用由供应商承担，质保期自验收合格之日起重新计算。</w:t>
      </w:r>
    </w:p>
    <w:p w14:paraId="57B13C3D">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CN" w:bidi="ar-SA"/>
        </w:rPr>
        <w:t>4</w:t>
      </w:r>
      <w:r>
        <w:rPr>
          <w:rFonts w:hint="eastAsia" w:ascii="宋体" w:hAnsi="宋体" w:eastAsia="宋体" w:cs="宋体"/>
          <w:sz w:val="24"/>
          <w:szCs w:val="24"/>
          <w:lang w:val="en-US" w:eastAsia="zh-Hans" w:bidi="ar-SA"/>
        </w:rPr>
        <w:t>、所提供的服务内容应严格按照国家最新发布的规范标准执行，符合采购人的理念及要求，如发生质量问题由供应商承担全部责任；</w:t>
      </w:r>
    </w:p>
    <w:p w14:paraId="178F4DB9">
      <w:pPr>
        <w:keepNext w:val="0"/>
        <w:keepLines w:val="0"/>
        <w:pageBreakBefore w:val="0"/>
        <w:kinsoku/>
        <w:wordWrap/>
        <w:overflowPunct/>
        <w:topLinePunct w:val="0"/>
        <w:autoSpaceDE/>
        <w:autoSpaceDN/>
        <w:bidi w:val="0"/>
        <w:spacing w:line="360" w:lineRule="auto"/>
        <w:ind w:firstLine="48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CN" w:bidi="ar-SA"/>
        </w:rPr>
        <w:t>5</w:t>
      </w:r>
      <w:r>
        <w:rPr>
          <w:rFonts w:hint="eastAsia" w:ascii="宋体" w:hAnsi="宋体" w:eastAsia="宋体" w:cs="宋体"/>
          <w:sz w:val="24"/>
          <w:szCs w:val="24"/>
          <w:lang w:val="en-US" w:eastAsia="zh-Hans" w:bidi="ar-SA"/>
        </w:rPr>
        <w:t>、维保期以中标供应商的投标文件为准。</w:t>
      </w:r>
    </w:p>
    <w:p w14:paraId="230BFB47">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sz w:val="24"/>
          <w:lang w:eastAsia="zh-CN"/>
        </w:rPr>
      </w:pPr>
      <w:r>
        <w:rPr>
          <w:rFonts w:hint="eastAsia" w:ascii="宋体" w:hAnsi="宋体" w:eastAsia="宋体" w:cs="宋体"/>
          <w:b/>
          <w:sz w:val="24"/>
          <w:lang w:eastAsia="zh-CN"/>
        </w:rPr>
        <w:t>十五、保密</w:t>
      </w:r>
    </w:p>
    <w:p w14:paraId="5A230537">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供应商须严格保密对工作中了解到的采购人的技术、机密等信息，不得向他人泄漏。本合同的解除或终止不免除供应商应承担的保密义务。</w:t>
      </w:r>
    </w:p>
    <w:p w14:paraId="3C9ED455">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sz w:val="24"/>
          <w:lang w:eastAsia="zh-CN"/>
        </w:rPr>
      </w:pPr>
      <w:r>
        <w:rPr>
          <w:rFonts w:hint="eastAsia" w:ascii="宋体" w:hAnsi="宋体" w:eastAsia="宋体" w:cs="宋体"/>
          <w:b/>
          <w:sz w:val="24"/>
          <w:lang w:eastAsia="zh-CN"/>
        </w:rPr>
        <w:t>十六、知识产权</w:t>
      </w:r>
    </w:p>
    <w:p w14:paraId="5C86090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17636671">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sz w:val="24"/>
          <w:lang w:eastAsia="zh-CN"/>
        </w:rPr>
      </w:pPr>
      <w:r>
        <w:rPr>
          <w:rFonts w:hint="eastAsia" w:ascii="宋体" w:hAnsi="宋体" w:eastAsia="宋体" w:cs="宋体"/>
          <w:b/>
          <w:sz w:val="24"/>
          <w:lang w:eastAsia="zh-CN"/>
        </w:rPr>
        <w:t>十七、双方承诺</w:t>
      </w:r>
    </w:p>
    <w:p w14:paraId="105130F2">
      <w:pPr>
        <w:wordWrap/>
        <w:autoSpaceDE/>
        <w:autoSpaceDN/>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eastAsia="宋体" w:cs="宋体"/>
          <w:bCs/>
          <w:sz w:val="24"/>
          <w:lang w:eastAsia="zh-CN"/>
        </w:rPr>
        <w:t>1、供应商向采购人承诺，按照本合同约定提供相关产品和服务；</w:t>
      </w:r>
    </w:p>
    <w:p w14:paraId="221ED9D8">
      <w:pPr>
        <w:wordWrap/>
        <w:autoSpaceDE/>
        <w:autoSpaceDN/>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eastAsia="宋体" w:cs="宋体"/>
          <w:bCs/>
          <w:sz w:val="24"/>
          <w:lang w:eastAsia="zh-CN"/>
        </w:rPr>
        <w:t>2、采购人向供应商承诺，按照本合同约定支付相关款项。</w:t>
      </w:r>
    </w:p>
    <w:p w14:paraId="3F0C1A08">
      <w:pPr>
        <w:wordWrap/>
        <w:autoSpaceDE/>
        <w:autoSpaceDN/>
        <w:adjustRightInd w:val="0"/>
        <w:snapToGrid w:val="0"/>
        <w:spacing w:line="360" w:lineRule="auto"/>
        <w:outlineLvl w:val="0"/>
        <w:rPr>
          <w:rFonts w:hint="eastAsia" w:ascii="宋体" w:hAnsi="宋体" w:eastAsia="宋体" w:cs="宋体"/>
          <w:b/>
          <w:sz w:val="24"/>
          <w:lang w:eastAsia="zh-CN"/>
        </w:rPr>
      </w:pPr>
      <w:r>
        <w:rPr>
          <w:rFonts w:hint="eastAsia" w:ascii="宋体" w:hAnsi="宋体" w:eastAsia="宋体" w:cs="宋体"/>
          <w:b/>
          <w:sz w:val="24"/>
          <w:lang w:eastAsia="zh-CN"/>
        </w:rPr>
        <w:t>十八、违约责任</w:t>
      </w:r>
    </w:p>
    <w:p w14:paraId="265BF042">
      <w:pPr>
        <w:widowControl w:val="0"/>
        <w:spacing w:line="360" w:lineRule="auto"/>
        <w:jc w:val="left"/>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1、按《中华人民共和国政府采购法》、《中华人民共和国民法典》中的相关条款和本合同约定执行；</w:t>
      </w:r>
    </w:p>
    <w:p w14:paraId="6F87595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2、供应商履约延误：</w:t>
      </w:r>
    </w:p>
    <w:p w14:paraId="145B05FA">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bCs/>
          <w:kern w:val="2"/>
          <w:sz w:val="24"/>
          <w:szCs w:val="24"/>
          <w:lang w:val="en-US" w:eastAsia="zh-CN" w:bidi="ar-SA"/>
        </w:rPr>
        <w:t xml:space="preserve">    ①</w:t>
      </w:r>
      <w:r>
        <w:rPr>
          <w:rFonts w:hint="eastAsia" w:ascii="宋体" w:hAnsi="宋体" w:eastAsia="宋体" w:cs="宋体"/>
          <w:kern w:val="2"/>
          <w:sz w:val="24"/>
          <w:szCs w:val="24"/>
          <w:lang w:val="en-US" w:eastAsia="zh-CN" w:bidi="ar-SA"/>
        </w:rPr>
        <w:t>如供应商事先未征得采购人同意并未得到采购人的谅解而单方面延迟交货，将按违约终止合同；</w:t>
      </w:r>
    </w:p>
    <w:p w14:paraId="62E5CE72">
      <w:pPr>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②在履行合同过程中，如果供应商遇到可能妨碍按时交货和提供服务的情况，应及时以书面形式将拖延的事实、可能拖延的期限和理由通知采购人。采购人在收到供应商通知后，应尽快对情况进行评价，并确定是否酌情延长交货时间。若采购人不同意延长交货时间，由供应商支付延期交货的违约金，采购人可在合同未付款中扣除延期交货的违约金，每延期交货一天按合同总价款的1%向采购人支付违约金，该违约金由采购人在应支付货款中直接扣除，供应商对此无任何异议；</w:t>
      </w:r>
    </w:p>
    <w:p w14:paraId="2D699984">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 xml:space="preserve">    3、如整机验收不合格，且</w:t>
      </w:r>
      <w:r>
        <w:rPr>
          <w:rFonts w:hint="eastAsia" w:ascii="宋体" w:hAnsi="宋体" w:eastAsia="宋体" w:cs="宋体"/>
          <w:sz w:val="24"/>
          <w:szCs w:val="24"/>
          <w:lang w:val="en-US" w:eastAsia="zh-CN" w:bidi="ar-SA"/>
        </w:rPr>
        <w:t>供应商</w:t>
      </w:r>
      <w:r>
        <w:rPr>
          <w:rFonts w:hint="eastAsia" w:ascii="宋体" w:hAnsi="宋体" w:eastAsia="宋体" w:cs="宋体"/>
          <w:sz w:val="24"/>
          <w:szCs w:val="24"/>
          <w:lang w:val="en-US" w:eastAsia="zh-Hans" w:bidi="ar-SA"/>
        </w:rPr>
        <w:t>在规定的整改期内仍达不到验收标准的，视为</w:t>
      </w:r>
      <w:r>
        <w:rPr>
          <w:rFonts w:hint="eastAsia" w:ascii="宋体" w:hAnsi="宋体" w:eastAsia="宋体" w:cs="宋体"/>
          <w:sz w:val="24"/>
          <w:szCs w:val="24"/>
          <w:lang w:val="en-US" w:eastAsia="zh-CN" w:bidi="ar-SA"/>
        </w:rPr>
        <w:t>供应商</w:t>
      </w:r>
      <w:r>
        <w:rPr>
          <w:rFonts w:hint="eastAsia" w:ascii="宋体" w:hAnsi="宋体" w:eastAsia="宋体" w:cs="宋体"/>
          <w:sz w:val="24"/>
          <w:szCs w:val="24"/>
          <w:lang w:val="en-US" w:eastAsia="zh-Hans" w:bidi="ar-SA"/>
        </w:rPr>
        <w:t>延期交货，采购人可在合同未付款中直接扣除延期交货违约金，每延期一天按合同总价款的</w:t>
      </w:r>
      <w:r>
        <w:rPr>
          <w:rFonts w:hint="eastAsia" w:ascii="宋体" w:hAnsi="宋体" w:eastAsia="宋体" w:cs="宋体"/>
          <w:sz w:val="24"/>
          <w:szCs w:val="24"/>
          <w:lang w:val="en-US" w:eastAsia="zh-CN" w:bidi="ar-SA"/>
        </w:rPr>
        <w:t>1%</w:t>
      </w:r>
      <w:r>
        <w:rPr>
          <w:rFonts w:hint="eastAsia" w:ascii="宋体" w:hAnsi="宋体" w:eastAsia="宋体" w:cs="宋体"/>
          <w:sz w:val="24"/>
          <w:szCs w:val="24"/>
          <w:lang w:val="en-US" w:eastAsia="zh-Hans" w:bidi="ar-SA"/>
        </w:rPr>
        <w:t>扣除；同时，</w:t>
      </w:r>
      <w:r>
        <w:rPr>
          <w:rFonts w:hint="eastAsia" w:ascii="宋体" w:hAnsi="宋体" w:eastAsia="宋体" w:cs="宋体"/>
          <w:sz w:val="24"/>
          <w:szCs w:val="24"/>
          <w:lang w:val="en-US" w:eastAsia="zh-CN" w:bidi="ar-SA"/>
        </w:rPr>
        <w:t>供应商</w:t>
      </w:r>
      <w:r>
        <w:rPr>
          <w:rFonts w:hint="eastAsia" w:ascii="宋体" w:hAnsi="宋体" w:eastAsia="宋体" w:cs="宋体"/>
          <w:sz w:val="24"/>
          <w:szCs w:val="24"/>
          <w:lang w:val="en-US" w:eastAsia="zh-Hans" w:bidi="ar-SA"/>
        </w:rPr>
        <w:t>应向采购人重新更换和投标文件一致的同生产厂家、同品牌、同型号、同规格的全新产品；</w:t>
      </w:r>
    </w:p>
    <w:p w14:paraId="6AD002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供应商未全面履行合同义务或者发生违约，采购单位会同采购代理机构有权终止合同，依法向成交供应商进行经济索赔，并报请政府采购监督管理机关进行相应的行政处罚。供应商应当赔偿采购人所有损失，包括但不限于诉讼费、律师费、差旅费、公告费、保全费、担保费等。</w:t>
      </w:r>
    </w:p>
    <w:p w14:paraId="1A2E68C7">
      <w:pPr>
        <w:wordWrap/>
        <w:autoSpaceDE/>
        <w:autoSpaceDN/>
        <w:adjustRightInd w:val="0"/>
        <w:snapToGrid w:val="0"/>
        <w:spacing w:line="360" w:lineRule="auto"/>
        <w:outlineLvl w:val="0"/>
        <w:rPr>
          <w:rFonts w:hint="eastAsia" w:ascii="宋体" w:hAnsi="宋体" w:eastAsia="宋体" w:cs="宋体"/>
          <w:b/>
          <w:sz w:val="24"/>
          <w:lang w:eastAsia="zh-CN"/>
        </w:rPr>
      </w:pPr>
      <w:r>
        <w:rPr>
          <w:rFonts w:hint="eastAsia" w:ascii="宋体" w:hAnsi="宋体" w:eastAsia="宋体" w:cs="宋体"/>
          <w:b/>
          <w:sz w:val="24"/>
          <w:lang w:eastAsia="zh-CN"/>
        </w:rPr>
        <w:t>十九、合同争议的解决</w:t>
      </w:r>
    </w:p>
    <w:p w14:paraId="281F9AA7">
      <w:pPr>
        <w:wordWrap/>
        <w:autoSpaceDE/>
        <w:autoSpaceDN/>
        <w:adjustRightInd w:val="0"/>
        <w:snapToGrid w:val="0"/>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合同执行中发生争议的，当事人双方应协商解决，协商达不成一致时，可向采购人所在地人民法院提请诉讼。</w:t>
      </w:r>
    </w:p>
    <w:p w14:paraId="00ACE58F">
      <w:pPr>
        <w:wordWrap/>
        <w:autoSpaceDE/>
        <w:autoSpaceDN/>
        <w:adjustRightInd w:val="0"/>
        <w:snapToGrid w:val="0"/>
        <w:spacing w:line="360" w:lineRule="auto"/>
        <w:jc w:val="left"/>
        <w:outlineLvl w:val="0"/>
        <w:rPr>
          <w:rFonts w:hint="eastAsia" w:ascii="宋体" w:hAnsi="宋体" w:eastAsia="宋体" w:cs="宋体"/>
          <w:b/>
          <w:bCs/>
          <w:sz w:val="24"/>
          <w:lang w:eastAsia="zh-CN"/>
        </w:rPr>
      </w:pPr>
      <w:r>
        <w:rPr>
          <w:rFonts w:hint="eastAsia" w:ascii="宋体" w:hAnsi="宋体" w:eastAsia="宋体" w:cs="宋体"/>
          <w:b/>
          <w:bCs/>
          <w:sz w:val="24"/>
          <w:lang w:eastAsia="zh-CN"/>
        </w:rPr>
        <w:t>二十、不可抗力情况下的免责约定</w:t>
      </w:r>
    </w:p>
    <w:p w14:paraId="37A2D790">
      <w:pPr>
        <w:wordWrap/>
        <w:autoSpaceDE/>
        <w:autoSpaceDN/>
        <w:adjustRightInd w:val="0"/>
        <w:snapToGrid w:val="0"/>
        <w:spacing w:line="360" w:lineRule="auto"/>
        <w:jc w:val="left"/>
        <w:rPr>
          <w:rFonts w:hint="eastAsia" w:ascii="宋体" w:hAnsi="宋体" w:eastAsia="宋体" w:cs="宋体"/>
          <w:sz w:val="24"/>
          <w:lang w:eastAsia="zh-CN"/>
        </w:rPr>
      </w:pPr>
      <w:r>
        <w:rPr>
          <w:rFonts w:hint="eastAsia" w:ascii="宋体" w:hAnsi="宋体" w:eastAsia="宋体" w:cs="宋体"/>
          <w:sz w:val="24"/>
          <w:lang w:eastAsia="zh-CN"/>
        </w:rPr>
        <w:t xml:space="preserve">    双方约定不可抗力情况指：双方不可预见、不可避免、不可克服的客观情况，但不包括双方的违约或疏忽。这些事件包括：战争、严重火灾、洪水、台风、地震等。</w:t>
      </w:r>
    </w:p>
    <w:p w14:paraId="5AFD003F">
      <w:pPr>
        <w:wordWrap/>
        <w:autoSpaceDE/>
        <w:autoSpaceDN/>
        <w:adjustRightInd w:val="0"/>
        <w:snapToGrid w:val="0"/>
        <w:spacing w:line="360" w:lineRule="auto"/>
        <w:outlineLvl w:val="0"/>
        <w:rPr>
          <w:rFonts w:hint="eastAsia" w:ascii="宋体" w:hAnsi="宋体" w:eastAsia="宋体" w:cs="宋体"/>
          <w:b/>
          <w:sz w:val="24"/>
          <w:lang w:eastAsia="zh-CN"/>
        </w:rPr>
      </w:pPr>
      <w:r>
        <w:rPr>
          <w:rFonts w:hint="eastAsia" w:ascii="宋体" w:hAnsi="宋体" w:eastAsia="宋体" w:cs="宋体"/>
          <w:b/>
          <w:sz w:val="24"/>
          <w:lang w:eastAsia="zh-CN"/>
        </w:rPr>
        <w:t>二十一、合同订立</w:t>
      </w:r>
    </w:p>
    <w:p w14:paraId="52A85DFF">
      <w:pPr>
        <w:wordWrap/>
        <w:autoSpaceDE/>
        <w:autoSpaceDN/>
        <w:adjustRightInd w:val="0"/>
        <w:snapToGrid w:val="0"/>
        <w:spacing w:line="360"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lang w:eastAsia="zh-CN"/>
        </w:rPr>
        <w:t>1、订立时间：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月</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14:paraId="2723C669">
      <w:pPr>
        <w:wordWrap/>
        <w:autoSpaceDE/>
        <w:autoSpaceDN/>
        <w:adjustRightInd w:val="0"/>
        <w:snapToGrid w:val="0"/>
        <w:spacing w:line="360"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lang w:eastAsia="zh-CN"/>
        </w:rPr>
        <w:t>2、订立地点：</w:t>
      </w:r>
      <w:r>
        <w:rPr>
          <w:rFonts w:hint="eastAsia" w:ascii="宋体" w:hAnsi="宋体" w:eastAsia="宋体" w:cs="宋体"/>
          <w:sz w:val="24"/>
          <w:u w:val="single"/>
          <w:lang w:eastAsia="zh-CN"/>
        </w:rPr>
        <w:t xml:space="preserve">                        </w:t>
      </w:r>
    </w:p>
    <w:p w14:paraId="60BD2E53">
      <w:pPr>
        <w:tabs>
          <w:tab w:val="left" w:pos="980"/>
        </w:tabs>
        <w:kinsoku w:val="0"/>
        <w:wordWrap/>
        <w:autoSpaceDE/>
        <w:autoSpaceDN/>
        <w:adjustRightInd w:val="0"/>
        <w:snapToGrid w:val="0"/>
        <w:spacing w:line="360"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lang w:eastAsia="zh-CN"/>
        </w:rPr>
        <w:t>3、本合同一式</w:t>
      </w:r>
      <w:r>
        <w:rPr>
          <w:rFonts w:hint="eastAsia" w:ascii="宋体" w:hAnsi="宋体" w:eastAsia="宋体" w:cs="宋体"/>
          <w:b/>
          <w:sz w:val="24"/>
          <w:u w:val="single"/>
          <w:lang w:eastAsia="zh-CN"/>
        </w:rPr>
        <w:t>陆</w:t>
      </w:r>
      <w:r>
        <w:rPr>
          <w:rFonts w:hint="eastAsia" w:ascii="宋体" w:hAnsi="宋体" w:eastAsia="宋体" w:cs="宋体"/>
          <w:sz w:val="24"/>
          <w:lang w:eastAsia="zh-CN"/>
        </w:rPr>
        <w:t>份，具有同等法律效力，采供双方各执</w:t>
      </w:r>
      <w:r>
        <w:rPr>
          <w:rFonts w:hint="eastAsia" w:ascii="宋体" w:hAnsi="宋体" w:eastAsia="宋体" w:cs="宋体"/>
          <w:b/>
          <w:bCs/>
          <w:sz w:val="24"/>
          <w:u w:val="single"/>
          <w:lang w:eastAsia="zh-CN"/>
        </w:rPr>
        <w:t>叁</w:t>
      </w:r>
      <w:r>
        <w:rPr>
          <w:rFonts w:hint="eastAsia" w:ascii="宋体" w:hAnsi="宋体" w:eastAsia="宋体" w:cs="宋体"/>
          <w:sz w:val="24"/>
          <w:lang w:eastAsia="zh-CN"/>
        </w:rPr>
        <w:t>份。各方法定代表人或者授权代理人签字并盖章后生效，合同执行完毕自动失效。（合同的服务承诺长期有效）；</w:t>
      </w:r>
    </w:p>
    <w:p w14:paraId="095356F9">
      <w:pPr>
        <w:tabs>
          <w:tab w:val="left" w:pos="980"/>
        </w:tabs>
        <w:kinsoku w:val="0"/>
        <w:wordWrap/>
        <w:autoSpaceDE/>
        <w:autoSpaceDN/>
        <w:adjustRightInd w:val="0"/>
        <w:snapToGrid w:val="0"/>
        <w:spacing w:line="360"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lang w:eastAsia="zh-CN"/>
        </w:rPr>
        <w:t>4、除本合同约定，合同一经签订，不得擅自变更、中止或者终止合同。对确需变更、调整或者中止、终止合同的，应按规定履行相应的手续或签订补充协议。</w:t>
      </w:r>
    </w:p>
    <w:p w14:paraId="008FA45E">
      <w:pPr>
        <w:tabs>
          <w:tab w:val="left" w:pos="980"/>
        </w:tabs>
        <w:kinsoku w:val="0"/>
        <w:wordWrap/>
        <w:autoSpaceDE/>
        <w:autoSpaceDN/>
        <w:adjustRightInd w:val="0"/>
        <w:snapToGrid w:val="0"/>
        <w:spacing w:line="360" w:lineRule="auto"/>
        <w:jc w:val="left"/>
        <w:rPr>
          <w:rFonts w:hint="eastAsia" w:ascii="宋体" w:hAnsi="宋体" w:eastAsia="宋体" w:cs="宋体"/>
          <w:sz w:val="24"/>
          <w:lang w:eastAsia="zh-CN"/>
        </w:rPr>
      </w:pPr>
      <w:r>
        <w:rPr>
          <w:rFonts w:hint="eastAsia" w:ascii="宋体" w:hAnsi="宋体" w:eastAsia="宋体" w:cs="宋体"/>
          <w:sz w:val="24"/>
          <w:lang w:eastAsia="zh-CN"/>
        </w:rPr>
        <w:t xml:space="preserve">   （以下无正文）</w:t>
      </w:r>
    </w:p>
    <w:p w14:paraId="3F864359">
      <w:pPr>
        <w:tabs>
          <w:tab w:val="left" w:pos="980"/>
        </w:tabs>
        <w:kinsoku w:val="0"/>
        <w:wordWrap/>
        <w:autoSpaceDE/>
        <w:autoSpaceDN/>
        <w:spacing w:line="360" w:lineRule="auto"/>
        <w:jc w:val="left"/>
        <w:rPr>
          <w:rFonts w:hint="eastAsia" w:ascii="宋体" w:hAnsi="宋体" w:eastAsia="宋体" w:cs="宋体"/>
          <w:sz w:val="24"/>
          <w:lang w:eastAsia="zh-CN"/>
        </w:rPr>
      </w:pPr>
    </w:p>
    <w:p w14:paraId="2D8FEAF6">
      <w:pPr>
        <w:wordWrap/>
        <w:autoSpaceDE/>
        <w:autoSpaceDN/>
        <w:rPr>
          <w:rFonts w:hint="eastAsia" w:ascii="宋体" w:hAnsi="宋体" w:eastAsia="宋体" w:cs="宋体"/>
          <w:b/>
          <w:sz w:val="24"/>
          <w:lang w:eastAsia="zh-CN"/>
        </w:rPr>
      </w:pPr>
      <w:r>
        <w:rPr>
          <w:rFonts w:hint="eastAsia" w:ascii="宋体" w:hAnsi="宋体" w:eastAsia="宋体" w:cs="宋体"/>
          <w:b/>
          <w:sz w:val="24"/>
          <w:lang w:eastAsia="zh-CN"/>
        </w:rPr>
        <w:br w:type="page"/>
      </w:r>
    </w:p>
    <w:p w14:paraId="1D6684B1">
      <w:pPr>
        <w:wordWrap/>
        <w:autoSpaceDE/>
        <w:autoSpaceDN/>
        <w:adjustRightInd w:val="0"/>
        <w:snapToGrid w:val="0"/>
        <w:spacing w:line="360" w:lineRule="auto"/>
        <w:jc w:val="left"/>
        <w:rPr>
          <w:rFonts w:hint="eastAsia" w:ascii="宋体" w:hAnsi="宋体" w:eastAsia="宋体" w:cs="宋体"/>
          <w:sz w:val="24"/>
          <w:u w:val="single"/>
          <w:lang w:eastAsia="zh-CN"/>
        </w:rPr>
      </w:pPr>
      <w:r>
        <w:rPr>
          <w:rFonts w:hint="eastAsia" w:ascii="宋体" w:hAnsi="宋体" w:eastAsia="宋体" w:cs="宋体"/>
          <w:b/>
          <w:sz w:val="24"/>
          <w:lang w:eastAsia="zh-CN"/>
        </w:rPr>
        <w:t>采购人</w:t>
      </w:r>
      <w:r>
        <w:rPr>
          <w:rFonts w:hint="eastAsia" w:ascii="宋体" w:hAnsi="宋体" w:eastAsia="宋体" w:cs="宋体"/>
          <w:bCs/>
          <w:sz w:val="24"/>
          <w:lang w:eastAsia="zh-CN"/>
        </w:rPr>
        <w:t>(</w:t>
      </w:r>
      <w:r>
        <w:rPr>
          <w:rFonts w:hint="eastAsia" w:ascii="宋体" w:hAnsi="宋体" w:eastAsia="宋体" w:cs="宋体"/>
          <w:sz w:val="24"/>
          <w:lang w:eastAsia="zh-CN"/>
        </w:rPr>
        <w:t>公章):</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    </w:t>
      </w:r>
      <w:r>
        <w:rPr>
          <w:rFonts w:hint="eastAsia" w:ascii="宋体" w:hAnsi="宋体" w:eastAsia="宋体" w:cs="宋体"/>
          <w:b/>
          <w:sz w:val="24"/>
          <w:lang w:eastAsia="zh-CN"/>
        </w:rPr>
        <w:t>供应商</w:t>
      </w:r>
      <w:r>
        <w:rPr>
          <w:rFonts w:hint="eastAsia" w:ascii="宋体" w:hAnsi="宋体" w:eastAsia="宋体" w:cs="宋体"/>
          <w:bCs/>
          <w:sz w:val="24"/>
          <w:lang w:eastAsia="zh-CN"/>
        </w:rPr>
        <w:t>(</w:t>
      </w:r>
      <w:r>
        <w:rPr>
          <w:rFonts w:hint="eastAsia" w:ascii="宋体" w:hAnsi="宋体" w:eastAsia="宋体" w:cs="宋体"/>
          <w:sz w:val="24"/>
          <w:lang w:eastAsia="zh-CN"/>
        </w:rPr>
        <w:t>公章):</w:t>
      </w:r>
      <w:r>
        <w:rPr>
          <w:rFonts w:hint="eastAsia" w:ascii="宋体" w:hAnsi="宋体" w:eastAsia="宋体" w:cs="宋体"/>
          <w:sz w:val="24"/>
          <w:u w:val="single"/>
          <w:lang w:eastAsia="zh-CN"/>
        </w:rPr>
        <w:t xml:space="preserve">                          </w:t>
      </w:r>
    </w:p>
    <w:p w14:paraId="53C68F99">
      <w:pPr>
        <w:wordWrap/>
        <w:autoSpaceDE/>
        <w:autoSpaceDN/>
        <w:adjustRightInd w:val="0"/>
        <w:snapToGrid w:val="0"/>
        <w:spacing w:line="360" w:lineRule="auto"/>
        <w:ind w:left="4800" w:hanging="4800" w:hangingChars="2000"/>
        <w:jc w:val="left"/>
        <w:rPr>
          <w:rFonts w:hint="eastAsia" w:ascii="宋体" w:hAnsi="宋体" w:eastAsia="宋体" w:cs="宋体"/>
          <w:sz w:val="24"/>
          <w:u w:val="single"/>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    </w:t>
      </w:r>
      <w:r>
        <w:rPr>
          <w:rFonts w:hint="eastAsia" w:hAnsi="宋体" w:cs="宋体"/>
          <w:sz w:val="24"/>
          <w:lang w:val="en-US" w:eastAsia="zh-CN"/>
        </w:rPr>
        <w:t xml:space="preserve">  </w:t>
      </w: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                 </w:t>
      </w:r>
      <w:r>
        <w:rPr>
          <w:rFonts w:hint="eastAsia" w:ascii="宋体" w:hAnsi="宋体" w:eastAsia="宋体" w:cs="宋体"/>
          <w:sz w:val="24"/>
          <w:u w:val="single"/>
          <w:lang w:eastAsia="zh-CN"/>
        </w:rPr>
        <w:t xml:space="preserve">      </w:t>
      </w:r>
    </w:p>
    <w:p w14:paraId="430ABCBA">
      <w:pPr>
        <w:wordWrap/>
        <w:autoSpaceDE/>
        <w:autoSpaceDN/>
        <w:adjustRightInd w:val="0"/>
        <w:snapToGrid w:val="0"/>
        <w:spacing w:line="360" w:lineRule="auto"/>
        <w:jc w:val="left"/>
        <w:rPr>
          <w:rFonts w:hint="eastAsia" w:ascii="宋体" w:hAnsi="宋体" w:eastAsia="宋体" w:cs="宋体"/>
          <w:sz w:val="24"/>
          <w:lang w:eastAsia="zh-CN"/>
        </w:rPr>
      </w:pPr>
      <w:r>
        <w:rPr>
          <w:rFonts w:hint="eastAsia" w:ascii="宋体" w:hAnsi="宋体" w:eastAsia="宋体" w:cs="宋体"/>
          <w:sz w:val="24"/>
          <w:lang w:eastAsia="zh-CN"/>
        </w:rPr>
        <w:t xml:space="preserve">法定代表人或                     </w:t>
      </w:r>
      <w:r>
        <w:rPr>
          <w:rFonts w:hint="eastAsia" w:hAnsi="宋体" w:cs="宋体"/>
          <w:sz w:val="24"/>
          <w:lang w:val="en-US" w:eastAsia="zh-CN"/>
        </w:rPr>
        <w:t xml:space="preserve">   </w:t>
      </w:r>
      <w:r>
        <w:rPr>
          <w:rFonts w:hint="eastAsia" w:ascii="宋体" w:hAnsi="宋体" w:eastAsia="宋体" w:cs="宋体"/>
          <w:sz w:val="24"/>
          <w:lang w:eastAsia="zh-CN"/>
        </w:rPr>
        <w:t>法定代表人或</w:t>
      </w:r>
    </w:p>
    <w:p w14:paraId="32A1FE39">
      <w:pPr>
        <w:wordWrap/>
        <w:autoSpaceDE/>
        <w:autoSpaceDN/>
        <w:adjustRightInd w:val="0"/>
        <w:snapToGrid w:val="0"/>
        <w:spacing w:line="360" w:lineRule="auto"/>
        <w:jc w:val="left"/>
        <w:rPr>
          <w:rFonts w:hint="eastAsia" w:ascii="宋体" w:hAnsi="宋体" w:eastAsia="宋体" w:cs="宋体"/>
          <w:sz w:val="24"/>
          <w:lang w:eastAsia="zh-CN"/>
        </w:rPr>
      </w:pPr>
      <w:r>
        <w:rPr>
          <w:rFonts w:hint="eastAsia" w:ascii="宋体" w:hAnsi="宋体" w:eastAsia="宋体" w:cs="宋体"/>
          <w:sz w:val="24"/>
          <w:lang w:eastAsia="zh-CN"/>
        </w:rPr>
        <w:t xml:space="preserve">授权代理人（签字）：             </w:t>
      </w:r>
      <w:r>
        <w:rPr>
          <w:rFonts w:hint="eastAsia" w:hAnsi="宋体" w:cs="宋体"/>
          <w:sz w:val="24"/>
          <w:lang w:val="en-US" w:eastAsia="zh-CN"/>
        </w:rPr>
        <w:t xml:space="preserve">    </w:t>
      </w:r>
      <w:r>
        <w:rPr>
          <w:rFonts w:hint="eastAsia" w:ascii="宋体" w:hAnsi="宋体" w:eastAsia="宋体" w:cs="宋体"/>
          <w:sz w:val="24"/>
          <w:lang w:eastAsia="zh-CN"/>
        </w:rPr>
        <w:t>授权代理人（签字）：</w:t>
      </w:r>
    </w:p>
    <w:p w14:paraId="4276CD33">
      <w:pPr>
        <w:wordWrap/>
        <w:autoSpaceDE/>
        <w:autoSpaceDN/>
        <w:adjustRightInd w:val="0"/>
        <w:snapToGrid w:val="0"/>
        <w:spacing w:line="360" w:lineRule="auto"/>
        <w:jc w:val="left"/>
        <w:rPr>
          <w:rFonts w:hint="eastAsia" w:ascii="宋体" w:hAnsi="宋体" w:eastAsia="宋体" w:cs="宋体"/>
          <w:sz w:val="24"/>
          <w:u w:val="single"/>
          <w:lang w:eastAsia="zh-CN"/>
        </w:rPr>
      </w:pPr>
      <w:r>
        <w:rPr>
          <w:rFonts w:hint="eastAsia" w:ascii="宋体" w:hAnsi="宋体" w:eastAsia="宋体" w:cs="宋体"/>
          <w:sz w:val="24"/>
          <w:lang w:eastAsia="zh-CN"/>
        </w:rPr>
        <w:t>电话：</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               </w:t>
      </w:r>
      <w:r>
        <w:rPr>
          <w:rFonts w:hint="eastAsia" w:hAnsi="宋体" w:cs="宋体"/>
          <w:sz w:val="24"/>
          <w:lang w:val="en-US" w:eastAsia="zh-CN"/>
        </w:rPr>
        <w:t xml:space="preserve">   </w:t>
      </w:r>
      <w:r>
        <w:rPr>
          <w:rFonts w:hint="eastAsia" w:ascii="宋体" w:hAnsi="宋体" w:eastAsia="宋体" w:cs="宋体"/>
          <w:sz w:val="24"/>
          <w:lang w:eastAsia="zh-CN"/>
        </w:rPr>
        <w:t>电话：</w:t>
      </w:r>
      <w:r>
        <w:rPr>
          <w:rFonts w:hint="eastAsia" w:ascii="宋体" w:hAnsi="宋体" w:eastAsia="宋体" w:cs="宋体"/>
          <w:sz w:val="24"/>
          <w:u w:val="single"/>
          <w:lang w:eastAsia="zh-CN"/>
        </w:rPr>
        <w:t xml:space="preserve">                  </w:t>
      </w:r>
    </w:p>
    <w:p w14:paraId="188E2910">
      <w:pPr>
        <w:wordWrap w:val="0"/>
        <w:autoSpaceDE w:val="0"/>
        <w:autoSpaceDN w:val="0"/>
        <w:adjustRightInd w:val="0"/>
        <w:snapToGrid w:val="0"/>
        <w:spacing w:line="400" w:lineRule="exact"/>
        <w:ind w:firstLine="480" w:firstLineChars="200"/>
        <w:rPr>
          <w:rFonts w:hint="eastAsia" w:ascii="宋体" w:hAnsi="宋体" w:eastAsia="宋体" w:cs="宋体"/>
          <w:bCs/>
          <w:sz w:val="20"/>
          <w:szCs w:val="21"/>
          <w:lang w:eastAsia="ko-KR"/>
        </w:rPr>
      </w:pPr>
      <w:r>
        <w:rPr>
          <w:rFonts w:hint="eastAsia" w:ascii="宋体" w:hAnsi="宋体" w:eastAsia="宋体" w:cs="宋体"/>
          <w:sz w:val="24"/>
          <w:lang w:eastAsia="zh-CN"/>
        </w:rPr>
        <w:t>日期：      年   月   日         日期：      年   月   日</w:t>
      </w:r>
    </w:p>
    <w:p w14:paraId="21C13860">
      <w:pPr>
        <w:wordWrap w:val="0"/>
        <w:autoSpaceDE w:val="0"/>
        <w:autoSpaceDN w:val="0"/>
        <w:ind w:firstLine="5880" w:firstLineChars="2100"/>
        <w:rPr>
          <w:rFonts w:hint="eastAsia" w:ascii="宋体" w:hAnsi="宋体" w:eastAsia="宋体" w:cs="宋体"/>
          <w:sz w:val="28"/>
          <w:szCs w:val="28"/>
          <w:lang w:eastAsia="ko-KR"/>
        </w:rPr>
      </w:pPr>
    </w:p>
    <w:p w14:paraId="0DE3F03B">
      <w:pPr>
        <w:rPr>
          <w:rFonts w:hint="eastAsia" w:ascii="宋体" w:hAnsi="宋体" w:eastAsia="宋体" w:cs="宋体"/>
          <w:lang w:val="en-US" w:eastAsia="zh-Hans" w:bidi="ar-SA"/>
        </w:rPr>
      </w:pPr>
    </w:p>
    <w:p w14:paraId="1627316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264F0079"/>
    <w:rsid w:val="340B271C"/>
    <w:rsid w:val="36DE2219"/>
    <w:rsid w:val="3DB12C1D"/>
    <w:rsid w:val="403B217E"/>
    <w:rsid w:val="58BC239B"/>
    <w:rsid w:val="5F8B6BE5"/>
    <w:rsid w:val="64DF3A6C"/>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paragraph" w:customStyle="1" w:styleId="17">
    <w:name w:val="正文缩进1"/>
    <w:basedOn w:val="1"/>
    <w:autoRedefine/>
    <w:qFormat/>
    <w:uiPriority w:val="0"/>
    <w:pPr>
      <w:spacing w:line="360" w:lineRule="auto"/>
      <w:outlineLvl w:val="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6268</Words>
  <Characters>6677</Characters>
  <Lines>0</Lines>
  <Paragraphs>0</Paragraphs>
  <TotalTime>0</TotalTime>
  <ScaleCrop>false</ScaleCrop>
  <LinksUpToDate>false</LinksUpToDate>
  <CharactersWithSpaces>6837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2026-05-28T11:54:05Z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