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版本号：SCZB2026-ZB-0595-00420260616001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添加液氦及核磁维保项目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SCZB2026-ZB-0595-004</w:t>
      </w:r>
      <w:r>
        <w:br/>
      </w:r>
      <w:r>
        <w:br/>
      </w:r>
      <w:r>
        <w:br/>
      </w:r>
    </w:p>
    <w:p>
      <w:pPr>
        <w:pStyle w:val="null3"/>
        <w:jc w:val="center"/>
        <w:outlineLvl w:val="2"/>
      </w:pPr>
      <w:r>
        <w:rPr>
          <w:rFonts w:ascii="仿宋_GB2312" w:hAnsi="仿宋_GB2312" w:cs="仿宋_GB2312" w:eastAsia="仿宋_GB2312"/>
          <w:sz w:val="28"/>
          <w:b/>
        </w:rPr>
        <w:t>佛坪县人民医院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佛坪县人民医院</w:t>
      </w:r>
      <w:r>
        <w:rPr>
          <w:rFonts w:ascii="仿宋_GB2312" w:hAnsi="仿宋_GB2312" w:cs="仿宋_GB2312" w:eastAsia="仿宋_GB2312"/>
        </w:rPr>
        <w:t>委托，拟对</w:t>
      </w:r>
      <w:r>
        <w:rPr>
          <w:rFonts w:ascii="仿宋_GB2312" w:hAnsi="仿宋_GB2312" w:cs="仿宋_GB2312" w:eastAsia="仿宋_GB2312"/>
        </w:rPr>
        <w:t>添加液氦及核磁维保项目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SCZB2026-ZB-0595-004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添加液氦及核磁维保项目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1、维保设备：1.5T 飞利浦Achieva（1台）；2、保修期限（服务期）：一年；3、维保范围：设备维修保养；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采购包1（添加液氦及核磁维保项目）：属于专门面向中小企业采购。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 网站和中国政府采购网查询记录：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p>
      <w:pPr>
        <w:pStyle w:val="null3"/>
      </w:pPr>
      <w:r>
        <w:rPr>
          <w:rFonts w:ascii="仿宋_GB2312" w:hAnsi="仿宋_GB2312" w:cs="仿宋_GB2312" w:eastAsia="仿宋_GB2312"/>
        </w:rPr>
        <w:t>2、法定代表人授权书/法定代表人身份证明：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4、资质：供应商应具有医疗器械经营许可证或经营备案凭证；</w:t>
      </w:r>
    </w:p>
    <w:p>
      <w:pPr>
        <w:pStyle w:val="null3"/>
      </w:pPr>
      <w:r>
        <w:rPr>
          <w:rFonts w:ascii="仿宋_GB2312" w:hAnsi="仿宋_GB2312" w:cs="仿宋_GB2312" w:eastAsia="仿宋_GB2312"/>
        </w:rPr>
        <w:t>5、承诺函：提供盖章的《汉中市政府采购供应商资格承诺函》。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陕西省汉中市佛坪县袁家庄镇黄家湾路8号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龙天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0916-8672182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杨叶、年婷婷、张学强、刘艳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银行账号：103660080371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说明：本项目履约保证金按中标合同金额的3%缴纳。采用转账、票据形式的，须在签订合同前足额缴至采购人指定账户；采用银行保函、履约保证保险的，保函 / 保险有效期需覆盖本项目服务周期，保函正本或保险单原件交采购人留存。履约保证金在项目全部验收合格且质保期满无违约情形后，无息全额退还，若中标单位存在违约行为，采购人有权从履约保证金中抵扣相应损失。</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代理服务费收费标准：参照《国家计委关于印发&lt;招标代理服务收费管理暂行办法&gt;的通知》（计价格[2002]1980号）规定标准按标段收取。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佛坪县人民医院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地址：陕西省采购招标有限责任公司综合办公室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1、维保设备：1.5T 飞利浦Achieva（1台）；2、保修期限（服务期）：一年；3、维保范围：设备维修保养。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添加液氦及核磁维保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标的名称：添加液氦及核磁维保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1.项目名称：佛坪县人民医院添加液氦及核磁维保项目</w:t>
            </w:r>
          </w:p>
          <w:p>
            <w:pPr>
              <w:pStyle w:val="null3"/>
            </w:pPr>
            <w:r>
              <w:rPr>
                <w:rFonts w:ascii="仿宋_GB2312" w:hAnsi="仿宋_GB2312" w:cs="仿宋_GB2312" w:eastAsia="仿宋_GB2312"/>
              </w:rPr>
              <w:t>2.设备型号：1.5T 飞利浦Achieva</w:t>
            </w:r>
          </w:p>
          <w:p>
            <w:pPr>
              <w:pStyle w:val="null3"/>
            </w:pPr>
            <w:r>
              <w:rPr>
                <w:rFonts w:ascii="仿宋_GB2312" w:hAnsi="仿宋_GB2312" w:cs="仿宋_GB2312" w:eastAsia="仿宋_GB2312"/>
              </w:rPr>
              <w:t>3.服务内容：含液氦供应+运输+加注+人工保养+应急处理</w:t>
            </w:r>
          </w:p>
          <w:p>
            <w:pPr>
              <w:pStyle w:val="null3"/>
            </w:pPr>
            <w:r>
              <w:rPr>
                <w:rFonts w:ascii="仿宋_GB2312" w:hAnsi="仿宋_GB2312" w:cs="仿宋_GB2312" w:eastAsia="仿宋_GB2312"/>
              </w:rPr>
              <w:t>4.服务期限：1 年</w:t>
            </w:r>
          </w:p>
          <w:p>
            <w:pPr>
              <w:pStyle w:val="null3"/>
            </w:pPr>
            <w:r>
              <w:rPr>
                <w:rFonts w:ascii="仿宋_GB2312" w:hAnsi="仿宋_GB2312" w:cs="仿宋_GB2312" w:eastAsia="仿宋_GB2312"/>
              </w:rPr>
              <w:t>5.服务地点：佛坪县人民医院MR机房</w:t>
            </w:r>
          </w:p>
          <w:p>
            <w:pPr>
              <w:pStyle w:val="null3"/>
            </w:pPr>
            <w:r>
              <w:rPr>
                <w:rFonts w:ascii="仿宋_GB2312" w:hAnsi="仿宋_GB2312" w:cs="仿宋_GB2312" w:eastAsia="仿宋_GB2312"/>
              </w:rPr>
              <w:t>6.添加液氦期限：合同签订后7天内完成。</w:t>
            </w:r>
          </w:p>
          <w:p>
            <w:pPr>
              <w:pStyle w:val="null3"/>
            </w:pPr>
            <w:r>
              <w:rPr>
                <w:rFonts w:ascii="仿宋_GB2312" w:hAnsi="仿宋_GB2312" w:cs="仿宋_GB2312" w:eastAsia="仿宋_GB2312"/>
              </w:rPr>
              <w:t>二、液氦技术要求</w:t>
            </w:r>
          </w:p>
          <w:p>
            <w:pPr>
              <w:pStyle w:val="null3"/>
            </w:pPr>
            <w:r>
              <w:rPr>
                <w:rFonts w:ascii="仿宋_GB2312" w:hAnsi="仿宋_GB2312" w:cs="仿宋_GB2312" w:eastAsia="仿宋_GB2312"/>
              </w:rPr>
              <w:t>1. 纯度：≥99.999%（5N），符合GB/T 4844.2-2015及设备原厂标准。</w:t>
            </w:r>
          </w:p>
          <w:p>
            <w:pPr>
              <w:pStyle w:val="null3"/>
            </w:pPr>
            <w:r>
              <w:rPr>
                <w:rFonts w:ascii="仿宋_GB2312" w:hAnsi="仿宋_GB2312" w:cs="仿宋_GB2312" w:eastAsia="仿宋_GB2312"/>
              </w:rPr>
              <w:t>2. 温度：≤-268.9℃（4.2K），液态供应。</w:t>
            </w:r>
          </w:p>
          <w:p>
            <w:pPr>
              <w:pStyle w:val="null3"/>
            </w:pPr>
            <w:r>
              <w:rPr>
                <w:rFonts w:ascii="仿宋_GB2312" w:hAnsi="仿宋_GB2312" w:cs="仿宋_GB2312" w:eastAsia="仿宋_GB2312"/>
              </w:rPr>
              <w:t>3. 杂质含量：-氮≤1ppm、氧≤0.5ppm、水≤0.5ppm、总杂质≤5ppm。</w:t>
            </w:r>
          </w:p>
          <w:p>
            <w:pPr>
              <w:pStyle w:val="null3"/>
            </w:pPr>
            <w:r>
              <w:rPr>
                <w:rFonts w:ascii="仿宋_GB2312" w:hAnsi="仿宋_GB2312" w:cs="仿宋_GB2312" w:eastAsia="仿宋_GB2312"/>
              </w:rPr>
              <w:t>4. 包装与运输：采用专用低温绝热杜瓦瓶，耐压≥1.6MPa，防泄漏、防蒸发； 运输符合GB 190危险货物包装标志及危化品运输规范。</w:t>
            </w:r>
          </w:p>
          <w:p>
            <w:pPr>
              <w:pStyle w:val="null3"/>
            </w:pPr>
            <w:r>
              <w:rPr>
                <w:rFonts w:ascii="仿宋_GB2312" w:hAnsi="仿宋_GB2312" w:cs="仿宋_GB2312" w:eastAsia="仿宋_GB2312"/>
              </w:rPr>
              <w:t>5. 检测报告：每批次提供出厂质检报告、纯度检测报告，随货交付。</w:t>
            </w:r>
          </w:p>
          <w:p>
            <w:pPr>
              <w:pStyle w:val="null3"/>
            </w:pPr>
            <w:r>
              <w:rPr>
                <w:rFonts w:ascii="仿宋_GB2312" w:hAnsi="仿宋_GB2312" w:cs="仿宋_GB2312" w:eastAsia="仿宋_GB2312"/>
              </w:rPr>
              <w:t>三、液氦加注服务要求</w:t>
            </w:r>
          </w:p>
          <w:p>
            <w:pPr>
              <w:pStyle w:val="null3"/>
            </w:pPr>
            <w:r>
              <w:rPr>
                <w:rFonts w:ascii="仿宋_GB2312" w:hAnsi="仿宋_GB2312" w:cs="仿宋_GB2312" w:eastAsia="仿宋_GB2312"/>
              </w:rPr>
              <w:t>1.响应时效：接到通知后≤24小时响应，≤7个工作日内完成加注（可配合非诊疗时段）。</w:t>
            </w:r>
          </w:p>
          <w:p>
            <w:pPr>
              <w:pStyle w:val="null3"/>
            </w:pPr>
            <w:r>
              <w:rPr>
                <w:rFonts w:ascii="仿宋_GB2312" w:hAnsi="仿宋_GB2312" w:cs="仿宋_GB2312" w:eastAsia="仿宋_GB2312"/>
              </w:rPr>
              <w:t>2. 加注标准：加注后磁体液氦液位≥95%（或按原厂标准），无泄漏、无结霜异常； 加注过程包含除冰、氦气吹扫（高纯氦99.999%）、管路检查等，费用全包。</w:t>
            </w:r>
          </w:p>
          <w:p>
            <w:pPr>
              <w:pStyle w:val="null3"/>
            </w:pPr>
            <w:r>
              <w:rPr>
                <w:rFonts w:ascii="仿宋_GB2312" w:hAnsi="仿宋_GB2312" w:cs="仿宋_GB2312" w:eastAsia="仿宋_GB2312"/>
              </w:rPr>
              <w:t xml:space="preserve"> 3.现场管理：制定安全作业方案，配备低温防护装备（防寒服、护目镜、防冻手套）； 作业区域设警示标识，禁止无关人员进入，全程无尘操作。</w:t>
            </w:r>
          </w:p>
          <w:p>
            <w:pPr>
              <w:pStyle w:val="null3"/>
            </w:pPr>
            <w:r>
              <w:rPr>
                <w:rFonts w:ascii="仿宋_GB2312" w:hAnsi="仿宋_GB2312" w:cs="仿宋_GB2312" w:eastAsia="仿宋_GB2312"/>
              </w:rPr>
              <w:t xml:space="preserve"> 4.记录与报告：填写加注记录表（时间、液位、用量、操作人员、设备状态）；完成后出具加注合格报告，经院方签字确认。</w:t>
            </w:r>
          </w:p>
          <w:p>
            <w:pPr>
              <w:pStyle w:val="null3"/>
            </w:pPr>
            <w:r>
              <w:rPr>
                <w:rFonts w:ascii="仿宋_GB2312" w:hAnsi="仿宋_GB2312" w:cs="仿宋_GB2312" w:eastAsia="仿宋_GB2312"/>
              </w:rPr>
              <w:t>四、人工保养服务要求（年度维保）</w:t>
            </w:r>
          </w:p>
          <w:p>
            <w:pPr>
              <w:pStyle w:val="null3"/>
            </w:pPr>
            <w:r>
              <w:rPr>
                <w:rFonts w:ascii="仿宋_GB2312" w:hAnsi="仿宋_GB2312" w:cs="仿宋_GB2312" w:eastAsia="仿宋_GB2312"/>
              </w:rPr>
              <w:t>（一）常规保养（≥4次/年，每季度1次）</w:t>
            </w:r>
          </w:p>
          <w:p>
            <w:pPr>
              <w:pStyle w:val="null3"/>
            </w:pPr>
            <w:r>
              <w:rPr>
                <w:rFonts w:ascii="仿宋_GB2312" w:hAnsi="仿宋_GB2312" w:cs="仿宋_GB2312" w:eastAsia="仿宋_GB2312"/>
              </w:rPr>
              <w:t>1. 制冷系统：检查冷头、氦压机、水冷机、吸附器、高低压氦管，清洁滤芯、更换干燥剂； 检测氦压机压力、电流、油温，冷头温度、制冷效率，记录参数。</w:t>
            </w:r>
          </w:p>
          <w:p>
            <w:pPr>
              <w:pStyle w:val="null3"/>
            </w:pPr>
            <w:r>
              <w:rPr>
                <w:rFonts w:ascii="仿宋_GB2312" w:hAnsi="仿宋_GB2312" w:cs="仿宋_GB2312" w:eastAsia="仿宋_GB2312"/>
              </w:rPr>
              <w:t xml:space="preserve"> 2.磁体系统：检查磁体室温度、湿度、压力（温度18–22℃，湿度40%–60%）；检查磁体真空度、泄漏、结霜情况，必要时补充液氦。</w:t>
            </w:r>
          </w:p>
          <w:p>
            <w:pPr>
              <w:pStyle w:val="null3"/>
            </w:pPr>
            <w:r>
              <w:rPr>
                <w:rFonts w:ascii="仿宋_GB2312" w:hAnsi="仿宋_GB2312" w:cs="仿宋_GB2312" w:eastAsia="仿宋_GB2312"/>
              </w:rPr>
              <w:t xml:space="preserve"> 3.安全附件： 校验安全阀、爆破片、压力变送器、液位计，确保灵敏可靠。</w:t>
            </w:r>
          </w:p>
          <w:p>
            <w:pPr>
              <w:pStyle w:val="null3"/>
            </w:pPr>
            <w:r>
              <w:rPr>
                <w:rFonts w:ascii="仿宋_GB2312" w:hAnsi="仿宋_GB2312" w:cs="仿宋_GB2312" w:eastAsia="仿宋_GB2312"/>
              </w:rPr>
              <w:t xml:space="preserve"> 4.每次保养后提交保养报告+参数记录表+隐患整改建议。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佛坪县人民医院MR机房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CDATA[1.异常低价审查 评审中出现下列情形之一的，评标委员会应当启动异常低价响应审查程序： ①供应商最终响应报价低于全部通过符合性审查供应商最终响应报价平均值50%的，即最终响应报价<全部通过符合性审查供应商最终响应报价平均值×50%； ②供应商最终响应报价低于通过符合性审查的次低报价供应商最终响应报价50%的，即最终响应报价<通过符合性审查的次低报价供应商最终响应报价×50%； ③最终响应报价低于采购项目最高限价45%的，即最终响应报价<采购项目最高限价×45%； ④评标委员会基于专业判断，认为供应商报价过低，有可能影响产品质量或者不能诚信履约的其他情形。 相关法律法规对供应商报价有规定的，从其规定。 评标委员会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2.若供应商采用保函形式缴纳保证金，请供应商在开标前一天告知代理机构并将保函扫描件发送到代理机构负责人邮箱（1725551214@qq.com）。3.落实政府采购政策：3.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3.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3.3《关于运用政府采购政策支持乡村产业振兴的通知》（财库〔2021〕19 号）、《关于印发<关于深入开展政府采购脱贫地区农副产品工作推进乡村产业振兴的实施意见>的通知》（财库〔2021〕20 号）。3.4《国家互联网信息办公室 工业和信息化部 公安部 财政部 国家认证认可监督管理委员会关于调整网络安全专用产品安全管理有关事项的公告》（2023年第1号）。3.5《陕西省财政厅关于加快推进我省中小企业政府采购信用融资工作的通知》（陕财办采〔2020〕15 号）、《陕西省财政厅关于印发<陕西省中小企业政府采购信用融资办法>的通知》（陕财办采〔2018〕23 号）。 3.6《关于扩大政府采购支持绿色建材促进建筑品质提升政策实施范围的通知》（财库〔2022〕35号）、《财政部办公厅 住房城乡建设部办公厅 工业和信息化部办公厅关于印发<政府采购支持绿色建材促进建筑品质提升政策项目实施指南>的通知》（ 财办库〔2023〕52号）。3.7《国务院办公厅关于在政府采购中实施本国产品标准及相关政策的通知》（国办发〔2025〕34号）。3.8《陕西省财政厅关于规范政府采购项目评审主观分赋分有关事项的通知》（陕财办采〔2026〕10号）若享受以上政策优惠的企业，提供相应声明函或品目清单范围内产品的有效认证证书或相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参与的供应商（联合体）服务全部由符合政策要求的中小企业承接，提供中小微企业或监狱企业或残疾人福利性单位声明。</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 网站和中国政府采购网查询记录</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供应商应具有医疗器械经营许可证或经营备案凭证；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磋商文件盖章</w:t>
            </w:r>
          </w:p>
        </w:tc>
        <w:tc>
          <w:tcPr>
            <w:tcW w:type="dxa" w:w="3322"/>
          </w:tcPr>
          <w:p>
            <w:pPr>
              <w:pStyle w:val="null3"/>
            </w:pPr>
            <w:r>
              <w:rPr>
                <w:rFonts w:ascii="仿宋_GB2312" w:hAnsi="仿宋_GB2312" w:cs="仿宋_GB2312" w:eastAsia="仿宋_GB2312"/>
              </w:rPr>
              <w:t>响应文件盖章满足磋商文件的要求</w:t>
            </w:r>
          </w:p>
        </w:tc>
        <w:tc>
          <w:tcPr>
            <w:tcW w:type="dxa" w:w="1661"/>
          </w:tcPr>
          <w:p>
            <w:pPr>
              <w:pStyle w:val="null3"/>
            </w:pPr>
            <w:r>
              <w:rPr>
                <w:rFonts w:ascii="仿宋_GB2312" w:hAnsi="仿宋_GB2312" w:cs="仿宋_GB2312" w:eastAsia="仿宋_GB2312"/>
              </w:rPr>
              <w:t>供应商认为需要说明的其他内容.pdf 中小企业声明函 商务应答表 服务内容及服务要求应答表 项目团队人员汇总表.pdf 响应文件封面 拒绝政府采购领域商业贿赂承诺书.pdf 供应商类似项目业绩一览表.pdf 残疾人福利性单位声明函 服务方案 供应商应提交的相关资格证明材料.pdf 标的清单 磋商保证金.pdf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w:t>
            </w:r>
          </w:p>
        </w:tc>
        <w:tc>
          <w:tcPr>
            <w:tcW w:type="dxa" w:w="3322"/>
          </w:tcPr>
          <w:p>
            <w:pPr>
              <w:pStyle w:val="null3"/>
            </w:pPr>
            <w:r>
              <w:rPr>
                <w:rFonts w:ascii="仿宋_GB2312" w:hAnsi="仿宋_GB2312" w:cs="仿宋_GB2312" w:eastAsia="仿宋_GB2312"/>
              </w:rPr>
              <w:t>响应文件法定代表人（或其他组织负责人）或其授权代表签字盖章满足磋商文件的要求</w:t>
            </w:r>
          </w:p>
        </w:tc>
        <w:tc>
          <w:tcPr>
            <w:tcW w:type="dxa" w:w="1661"/>
          </w:tcPr>
          <w:p>
            <w:pPr>
              <w:pStyle w:val="null3"/>
            </w:pPr>
            <w:r>
              <w:rPr>
                <w:rFonts w:ascii="仿宋_GB2312" w:hAnsi="仿宋_GB2312" w:cs="仿宋_GB2312" w:eastAsia="仿宋_GB2312"/>
              </w:rPr>
              <w:t>供应商认为需要说明的其他内容.pdf 中小企业声明函 商务应答表 服务内容及服务要求应答表 项目团队人员汇总表.pdf 响应文件封面 拒绝政府采购领域商业贿赂承诺书.pdf 供应商类似项目业绩一览表.pdf 残疾人福利性单位声明函 服务方案 供应商应提交的相关资格证明材料.pdf 标的清单 磋商保证金.pdf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保证金提交符合磋商文件要求</w:t>
            </w:r>
          </w:p>
        </w:tc>
        <w:tc>
          <w:tcPr>
            <w:tcW w:type="dxa" w:w="1661"/>
          </w:tcPr>
          <w:p>
            <w:pPr>
              <w:pStyle w:val="null3"/>
            </w:pPr>
            <w:r>
              <w:rPr>
                <w:rFonts w:ascii="仿宋_GB2312" w:hAnsi="仿宋_GB2312" w:cs="仿宋_GB2312" w:eastAsia="仿宋_GB2312"/>
              </w:rPr>
              <w:t>磋商保证金.pdf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供应商首次磋商报价未出现选择性报价，首次磋商报价未超出采购预算及最高限价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磋商内容</w:t>
            </w:r>
          </w:p>
        </w:tc>
        <w:tc>
          <w:tcPr>
            <w:tcW w:type="dxa" w:w="3322"/>
          </w:tcPr>
          <w:p>
            <w:pPr>
              <w:pStyle w:val="null3"/>
            </w:pPr>
            <w:r>
              <w:rPr>
                <w:rFonts w:ascii="仿宋_GB2312" w:hAnsi="仿宋_GB2312" w:cs="仿宋_GB2312" w:eastAsia="仿宋_GB2312"/>
              </w:rPr>
              <w:t>磋商内容未出现漏项，与要求相符，未出现重大负偏差</w:t>
            </w:r>
          </w:p>
        </w:tc>
        <w:tc>
          <w:tcPr>
            <w:tcW w:type="dxa" w:w="1661"/>
          </w:tcPr>
          <w:p>
            <w:pPr>
              <w:pStyle w:val="null3"/>
            </w:pPr>
            <w:r>
              <w:rPr>
                <w:rFonts w:ascii="仿宋_GB2312" w:hAnsi="仿宋_GB2312" w:cs="仿宋_GB2312" w:eastAsia="仿宋_GB2312"/>
              </w:rPr>
              <w:t>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整体维保方案</w:t>
            </w:r>
          </w:p>
        </w:tc>
        <w:tc>
          <w:tcPr>
            <w:tcW w:type="dxa" w:w="2492"/>
          </w:tcPr>
          <w:p>
            <w:pPr>
              <w:pStyle w:val="null3"/>
            </w:pPr>
            <w:r>
              <w:rPr>
                <w:rFonts w:ascii="仿宋_GB2312" w:hAnsi="仿宋_GB2312" w:cs="仿宋_GB2312" w:eastAsia="仿宋_GB2312"/>
              </w:rPr>
              <w:t>供应商根据项目特点提供整体维保方案，包括但不限于：①全年保养分析；②维护重点环节分析；③液氦加注措施及安全检查措施等。上述 3项内容，每项内容2分，满分6分。方案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供应商提供质量保证方案，包括但不限于：①服务质量标准及服务质量承诺；②确保服务质量的措施；③未达到质量标准的处罚措施等。上述 3项内容，每项内容2分，满分6分。方案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安全保证方案</w:t>
            </w:r>
          </w:p>
        </w:tc>
        <w:tc>
          <w:tcPr>
            <w:tcW w:type="dxa" w:w="2492"/>
          </w:tcPr>
          <w:p>
            <w:pPr>
              <w:pStyle w:val="null3"/>
            </w:pPr>
            <w:r>
              <w:rPr>
                <w:rFonts w:ascii="仿宋_GB2312" w:hAnsi="仿宋_GB2312" w:cs="仿宋_GB2312" w:eastAsia="仿宋_GB2312"/>
              </w:rPr>
              <w:t>供应商提供安全保证方案，包括但不限于：①安全保证体系；②合理可行的安全保障措施；③安全事故处罚措施等。上述 3项内容，每项内容2分，满分6分。方案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进度保证方案</w:t>
            </w:r>
          </w:p>
        </w:tc>
        <w:tc>
          <w:tcPr>
            <w:tcW w:type="dxa" w:w="2492"/>
          </w:tcPr>
          <w:p>
            <w:pPr>
              <w:pStyle w:val="null3"/>
            </w:pPr>
            <w:r>
              <w:rPr>
                <w:rFonts w:ascii="仿宋_GB2312" w:hAnsi="仿宋_GB2312" w:cs="仿宋_GB2312" w:eastAsia="仿宋_GB2312"/>
              </w:rPr>
              <w:t>供应商提供进度保证方案，包括但不限于：①资源配置与协调（包括人力部署，物力调配等）；②服务按时完成保障措施等。上述 2项内容，每项内容2分，满分4分。方案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突发情况应急方案，包括但不限于：①应急预案；②突发情况分析；③突发事件处理措施；④突发事件处理专班和责任人等。上述4项内容，每项内容2分，满分8分。方案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服务响应能力</w:t>
            </w:r>
          </w:p>
        </w:tc>
        <w:tc>
          <w:tcPr>
            <w:tcW w:type="dxa" w:w="2492"/>
          </w:tcPr>
          <w:p>
            <w:pPr>
              <w:pStyle w:val="null3"/>
            </w:pPr>
            <w:r>
              <w:rPr>
                <w:rFonts w:ascii="仿宋_GB2312" w:hAnsi="仿宋_GB2312" w:cs="仿宋_GB2312" w:eastAsia="仿宋_GB2312"/>
              </w:rPr>
              <w:t>1.提供7×24 小时报修措施；重大故障4小时内给出解决方案、24 小时内修复的承诺得3分； 2.未承诺或超时不计分。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根据供应商提供专业的技术培训方案，包括但不限于：①培训方式及课题内容；②培训时间计划安排；③培训场次安排；④培训目标等。上述4项内容，每项内容1分，满分4分。方案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针对设备日常保养维护方法，能够提出有价值的合理化建议，且具体切实可行，有利于延长设备使用寿命得3分；2.设备日常保养维护方法完整，提供了合理化建议但缺乏针对性得2分；3.设备日常保养维护方法有缺陷，合理化建议内容简单得1分；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1.企业获得国家承认的核磁设备维修认证，并提供相关印证资料得5分。 2.未提供不计分。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来源渠道合法证明文件</w:t>
            </w:r>
          </w:p>
        </w:tc>
        <w:tc>
          <w:tcPr>
            <w:tcW w:type="dxa" w:w="2492"/>
          </w:tcPr>
          <w:p>
            <w:pPr>
              <w:pStyle w:val="null3"/>
            </w:pPr>
            <w:r>
              <w:rPr>
                <w:rFonts w:ascii="仿宋_GB2312" w:hAnsi="仿宋_GB2312" w:cs="仿宋_GB2312" w:eastAsia="仿宋_GB2312"/>
              </w:rPr>
              <w:t>产品进货渠道正规，提供证明材料不限于销售协议或代理协议、厂家授权等相关资料得5分，未提供不得分。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承诺函1</w:t>
            </w:r>
          </w:p>
        </w:tc>
        <w:tc>
          <w:tcPr>
            <w:tcW w:type="dxa" w:w="2492"/>
          </w:tcPr>
          <w:p>
            <w:pPr>
              <w:pStyle w:val="null3"/>
            </w:pPr>
            <w:r>
              <w:rPr>
                <w:rFonts w:ascii="仿宋_GB2312" w:hAnsi="仿宋_GB2312" w:cs="仿宋_GB2312" w:eastAsia="仿宋_GB2312"/>
              </w:rPr>
              <w:t>供应商提供的原厂配件，产品质量有保障、供应渠道正常且零配件库存充足，确保更换的相关部件（或配件、配套设备）无假货、水货、翻新件、无产权纠纷，根据提供的承诺函得4分；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承诺函2</w:t>
            </w:r>
          </w:p>
        </w:tc>
        <w:tc>
          <w:tcPr>
            <w:tcW w:type="dxa" w:w="2492"/>
          </w:tcPr>
          <w:p>
            <w:pPr>
              <w:pStyle w:val="null3"/>
            </w:pPr>
            <w:r>
              <w:rPr>
                <w:rFonts w:ascii="仿宋_GB2312" w:hAnsi="仿宋_GB2312" w:cs="仿宋_GB2312" w:eastAsia="仿宋_GB2312"/>
              </w:rPr>
              <w:t>供应商提供的所有维修备件均应符合行业标准且能够与原设备配套兼容，承诺函内容齐全得4分，未提供不得分。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维修工程师资质</w:t>
            </w:r>
          </w:p>
        </w:tc>
        <w:tc>
          <w:tcPr>
            <w:tcW w:type="dxa" w:w="2492"/>
          </w:tcPr>
          <w:p>
            <w:pPr>
              <w:pStyle w:val="null3"/>
            </w:pPr>
            <w:r>
              <w:rPr>
                <w:rFonts w:ascii="仿宋_GB2312" w:hAnsi="仿宋_GB2312" w:cs="仿宋_GB2312" w:eastAsia="仿宋_GB2312"/>
              </w:rPr>
              <w:t>拟投入维修工程师具备本项目维修资质的原厂工程师或持有厂家培训证明的工程师至少2人，每增加1名工程师得2分，本项累计最高得6分。注：须提供原厂服务资质证明或提供经设备厂家培训机构针对与本项目同系列产品的培训合格证书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提供供应商或厂家2023年1月至今同类核磁维保服务业绩合同（以合同签订日期为准），每个业绩得2分，满分6分。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满足采购文件要求且最终响应报价最低的报价为评审基准价，其价格分为满分。其他供应商的价格分统一按照下列公式计算：响应报价得分=（评标基准价/最终响应报价）×价格分值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详见附件：供应商类似项目业绩一览表.pdf</w:t>
      </w:r>
    </w:p>
    <w:p>
      <w:pPr>
        <w:pStyle w:val="null3"/>
        <w:ind w:firstLine="960"/>
      </w:pPr>
      <w:r>
        <w:rPr>
          <w:rFonts w:ascii="仿宋_GB2312" w:hAnsi="仿宋_GB2312" w:cs="仿宋_GB2312" w:eastAsia="仿宋_GB2312"/>
        </w:rPr>
        <w:t>详见附件：项目团队人员汇总表.pdf</w:t>
      </w:r>
    </w:p>
    <w:p>
      <w:pPr>
        <w:pStyle w:val="null3"/>
        <w:ind w:firstLine="960"/>
      </w:pPr>
      <w:r>
        <w:rPr>
          <w:rFonts w:ascii="仿宋_GB2312" w:hAnsi="仿宋_GB2312" w:cs="仿宋_GB2312" w:eastAsia="仿宋_GB2312"/>
        </w:rPr>
        <w:t>详见附件：拒绝政府采购领域商业贿赂承诺书.pdf</w:t>
      </w:r>
    </w:p>
    <w:p>
      <w:pPr>
        <w:pStyle w:val="null3"/>
        <w:ind w:firstLine="960"/>
      </w:pPr>
      <w:r>
        <w:rPr>
          <w:rFonts w:ascii="仿宋_GB2312" w:hAnsi="仿宋_GB2312" w:cs="仿宋_GB2312" w:eastAsia="仿宋_GB2312"/>
        </w:rPr>
        <w:t>详见附件：磋商保证金.pdf</w:t>
      </w:r>
    </w:p>
    <w:p>
      <w:pPr>
        <w:pStyle w:val="null3"/>
        <w:ind w:firstLine="960"/>
      </w:pPr>
      <w:r>
        <w:rPr>
          <w:rFonts w:ascii="仿宋_GB2312" w:hAnsi="仿宋_GB2312" w:cs="仿宋_GB2312" w:eastAsia="仿宋_GB2312"/>
        </w:rPr>
        <w:t>详见附件：供应商认为需要说明的其他内容.pdf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