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9F314">
      <w:pPr>
        <w:pStyle w:val="2"/>
        <w:spacing w:before="50" w:after="50"/>
        <w:rPr>
          <w:rFonts w:hint="eastAsia"/>
          <w:color w:val="auto"/>
          <w:highlight w:val="none"/>
        </w:rPr>
      </w:pPr>
      <w:bookmarkStart w:id="0" w:name="_Toc19082"/>
      <w:r>
        <w:rPr>
          <w:rFonts w:hint="eastAsia"/>
          <w:color w:val="auto"/>
          <w:highlight w:val="none"/>
        </w:rPr>
        <w:t>第三章  采购内容及要求</w:t>
      </w:r>
      <w:bookmarkEnd w:id="0"/>
    </w:p>
    <w:p w14:paraId="268D4CD8">
      <w:pPr>
        <w:adjustRightInd w:val="0"/>
        <w:snapToGrid w:val="0"/>
        <w:spacing w:line="360" w:lineRule="auto"/>
        <w:rPr>
          <w:rFonts w:ascii="宋体" w:hAnsi="宋体" w:cs="仿宋"/>
          <w:b/>
          <w:bCs/>
          <w:color w:val="auto"/>
          <w:sz w:val="24"/>
          <w:highlight w:val="none"/>
        </w:rPr>
      </w:pPr>
      <w:bookmarkStart w:id="1" w:name="OLE_LINK10"/>
      <w:bookmarkStart w:id="2" w:name="OLE_LINK9"/>
      <w:r>
        <w:rPr>
          <w:rFonts w:hint="eastAsia" w:ascii="宋体" w:hAnsi="宋体" w:cs="仿宋"/>
          <w:b/>
          <w:bCs/>
          <w:color w:val="auto"/>
          <w:sz w:val="24"/>
          <w:highlight w:val="none"/>
        </w:rPr>
        <w:t>一、改造内容及要求</w:t>
      </w:r>
    </w:p>
    <w:p w14:paraId="1ED1C382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拆除原有破损地面地砖，修补水泥地面并铺设聚氨酯超耐磨自流平，修复受潮脱落的墙面、吊顶，检修更换破损门窗，清运各类建筑垃圾,全面检修、更换老化水电管线，规范线路布局，优化照明设施布局、改善区域通风条件。</w:t>
      </w:r>
    </w:p>
    <w:p w14:paraId="235C0082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餐厅维修改造项目，本次不含设备采购，</w:t>
      </w:r>
      <w:r>
        <w:rPr>
          <w:rFonts w:ascii="宋体" w:hAnsi="宋体" w:cs="宋体"/>
          <w:color w:val="auto"/>
          <w:sz w:val="24"/>
          <w:highlight w:val="none"/>
        </w:rPr>
        <w:t>详细内容见附件工程量清单电子版。</w:t>
      </w:r>
    </w:p>
    <w:p w14:paraId="10FA5B32">
      <w:pPr>
        <w:adjustRightInd w:val="0"/>
        <w:snapToGrid w:val="0"/>
        <w:spacing w:line="360" w:lineRule="auto"/>
        <w:rPr>
          <w:rFonts w:hint="eastAsia" w:ascii="宋体" w:hAnsi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t>二、技术标准及要求</w:t>
      </w:r>
    </w:p>
    <w:p w14:paraId="6E315EA1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1、严格按照标准和工艺流程施工，严把质量关，确保施工质量达到合格，符合验收标准。</w:t>
      </w:r>
    </w:p>
    <w:p w14:paraId="3EE27E48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2、依据设计文件的要求，本招标工程项目的材料、施工须达到所涉及到的现行中华人民共和国以及省、自治区、直辖市或行业的工程建设现行标准、规范的要求。</w:t>
      </w:r>
    </w:p>
    <w:p w14:paraId="0AFECC8A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3、根据工程设计要求，该项工程项目的材料、施工除须达到以上标准外，还应满足设计要求和采购人在招标文件中的有关要求。</w:t>
      </w:r>
    </w:p>
    <w:p w14:paraId="4434DEC1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4、该项目的材料、施工如无上述2、3条的标准，在材料的定货采购和施工安装时，应出具生产厂家或施工安装企业在技术监督部门已备案企业标准，并经监理和业主批准后方可实施。</w:t>
      </w:r>
    </w:p>
    <w:p w14:paraId="6F480883">
      <w:pPr>
        <w:spacing w:line="360" w:lineRule="auto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三、工程量清单编制依据</w:t>
      </w:r>
    </w:p>
    <w:p w14:paraId="7306748B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1、第二餐厅维修改造工程施工图纸；</w:t>
      </w:r>
    </w:p>
    <w:p w14:paraId="67C53347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2、《陕西省建设工程工程量清单计价计算标准(2025)》、《陕西省房屋建筑与装饰工程基价表(2025)》等；</w:t>
      </w:r>
    </w:p>
    <w:p w14:paraId="08B8DB78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3、现行的工程施工规范与工程验收标准；</w:t>
      </w:r>
    </w:p>
    <w:p w14:paraId="1663451E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4、现场踏勘情况。</w:t>
      </w:r>
    </w:p>
    <w:p w14:paraId="79979F20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5、工程量清单编制软件采用广联达云计价平台GCCP7.0平台版本号7.5000.23.3。</w:t>
      </w:r>
    </w:p>
    <w:bookmarkEnd w:id="1"/>
    <w:bookmarkEnd w:id="2"/>
    <w:p w14:paraId="0C1B45B8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4B3525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60" w:lineRule="auto"/>
      <w:ind w:left="425" w:hanging="425"/>
      <w:jc w:val="center"/>
      <w:outlineLvl w:val="0"/>
    </w:pPr>
    <w:rPr>
      <w:rFonts w:ascii="宋体" w:hAnsi="宋体" w:cs="Times New Roman"/>
      <w:b/>
      <w:bCs/>
      <w:kern w:val="44"/>
      <w:sz w:val="32"/>
      <w:szCs w:val="20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Administrator</cp:lastModifiedBy>
  <dcterms:modified xsi:type="dcterms:W3CDTF">2026-06-18T09:24:14Z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eyJoZGlkIjoiOGI1NjUzZTFhYWM0NmYwYjE1NTBlNzgxOGI1YTIyMDMifQ==</vt:lpwstr>
  </property>
</Properties>
</file>