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版本号：SYCG-CS-2602520260717001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三原县存量空间盘活利用专项规划项目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SYCG-CS-26025</w:t>
      </w:r>
      <w:r>
        <w:br/>
      </w:r>
      <w:r>
        <w:br/>
      </w:r>
      <w:r>
        <w:br/>
      </w:r>
    </w:p>
    <w:p>
      <w:pPr>
        <w:pStyle w:val="null3"/>
        <w:jc w:val="center"/>
        <w:outlineLvl w:val="2"/>
      </w:pPr>
      <w:r>
        <w:rPr>
          <w:rFonts w:ascii="仿宋_GB2312" w:hAnsi="仿宋_GB2312" w:cs="仿宋_GB2312" w:eastAsia="仿宋_GB2312"/>
          <w:sz w:val="28"/>
          <w:b/>
        </w:rPr>
        <w:t>三原县自然资源局</w:t>
      </w:r>
    </w:p>
    <w:p>
      <w:pPr>
        <w:pStyle w:val="null3"/>
        <w:jc w:val="center"/>
        <w:outlineLvl w:val="2"/>
      </w:pPr>
      <w:r>
        <w:rPr>
          <w:rFonts w:ascii="仿宋_GB2312" w:hAnsi="仿宋_GB2312" w:cs="仿宋_GB2312" w:eastAsia="仿宋_GB2312"/>
          <w:sz w:val="28"/>
          <w:b/>
        </w:rPr>
        <w:t>三原县政府采购中心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三原县政府采购中心</w:t>
      </w:r>
      <w:r>
        <w:rPr>
          <w:rFonts w:ascii="仿宋_GB2312" w:hAnsi="仿宋_GB2312" w:cs="仿宋_GB2312" w:eastAsia="仿宋_GB2312"/>
        </w:rPr>
        <w:t>（以下简称“代理机构”）受</w:t>
      </w:r>
      <w:r>
        <w:rPr>
          <w:rFonts w:ascii="仿宋_GB2312" w:hAnsi="仿宋_GB2312" w:cs="仿宋_GB2312" w:eastAsia="仿宋_GB2312"/>
        </w:rPr>
        <w:t>三原县自然资源局</w:t>
      </w:r>
      <w:r>
        <w:rPr>
          <w:rFonts w:ascii="仿宋_GB2312" w:hAnsi="仿宋_GB2312" w:cs="仿宋_GB2312" w:eastAsia="仿宋_GB2312"/>
        </w:rPr>
        <w:t>委托，拟对</w:t>
      </w:r>
      <w:r>
        <w:rPr>
          <w:rFonts w:ascii="仿宋_GB2312" w:hAnsi="仿宋_GB2312" w:cs="仿宋_GB2312" w:eastAsia="仿宋_GB2312"/>
        </w:rPr>
        <w:t>三原县存量空间盘活利用专项规划项目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SYCG-CS-26025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三原县存量空间盘活利用专项规划项目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本项目为三原县存量空间盘活利用专项规划项目，由三原县自然资源局发起，需完成县域存量空间调查评估与专项规划编制，指导存量空间盘活、低效用地再开发，助力城市有机更新与高质量发展。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采购包1（三原县存量空间盘活利用专项规划项目）：属于专门面向中小企业采购。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1、响应主体：独立承担民事责任的法人或其他组织有效的营业执照（或统一社会信用代码的营业执照）等相应证明文件，自然人的提供身份证明文件</w:t>
      </w:r>
    </w:p>
    <w:p>
      <w:pPr>
        <w:pStyle w:val="null3"/>
      </w:pPr>
      <w:r>
        <w:rPr>
          <w:rFonts w:ascii="仿宋_GB2312" w:hAnsi="仿宋_GB2312" w:cs="仿宋_GB2312" w:eastAsia="仿宋_GB2312"/>
        </w:rPr>
        <w:t>2、资格证明：供应商须具备自然资源主管部门核发有效期内城乡规划（国土空间规划）乙级及以上规划编制资质；;拟派项目负责人须具备规划专业中级工程师职称；提供开标截止前 6 个月内任意 1 个月供应商为其缴纳的社保证明。</w:t>
      </w:r>
    </w:p>
    <w:p>
      <w:pPr>
        <w:pStyle w:val="null3"/>
      </w:pPr>
      <w:r>
        <w:rPr>
          <w:rFonts w:ascii="仿宋_GB2312" w:hAnsi="仿宋_GB2312" w:cs="仿宋_GB2312" w:eastAsia="仿宋_GB2312"/>
        </w:rPr>
        <w:t>3、法定代表人授权委托书：法定代表人或负责人参加投标时，提供本人身份证，并与营业执照中法定代表人或负责人信息相符；授权代表参加投标时，提供授权书和被授权人身份证；</w:t>
      </w:r>
    </w:p>
    <w:p>
      <w:pPr>
        <w:pStyle w:val="null3"/>
      </w:pPr>
      <w:r>
        <w:rPr>
          <w:rFonts w:ascii="仿宋_GB2312" w:hAnsi="仿宋_GB2312" w:cs="仿宋_GB2312" w:eastAsia="仿宋_GB2312"/>
        </w:rPr>
        <w:t>4、财务状况报告：提供2025年度经审计的财务报告（成立时间至提交响应文件截止时间不足一年的可提供成立后任意时段的资产负债表），或其开标前三个月内银行出具的资信证明，（以上两种形式的资料提供任何一种即可）</w:t>
      </w:r>
    </w:p>
    <w:p>
      <w:pPr>
        <w:pStyle w:val="null3"/>
      </w:pPr>
      <w:r>
        <w:rPr>
          <w:rFonts w:ascii="仿宋_GB2312" w:hAnsi="仿宋_GB2312" w:cs="仿宋_GB2312" w:eastAsia="仿宋_GB2312"/>
        </w:rPr>
        <w:t>5、税收缴纳证明：提供开标截止时间前6个月内任意1个月的完税证明，完税证明上应有代收机构或税务机关的公章或业务专用章。依法免税或新成立的供应商应提供相关文件证明</w:t>
      </w:r>
    </w:p>
    <w:p>
      <w:pPr>
        <w:pStyle w:val="null3"/>
      </w:pPr>
      <w:r>
        <w:rPr>
          <w:rFonts w:ascii="仿宋_GB2312" w:hAnsi="仿宋_GB2312" w:cs="仿宋_GB2312" w:eastAsia="仿宋_GB2312"/>
        </w:rPr>
        <w:t>6、社会保障资金缴纳证明：提供开标截止时间前6个月内任意1个月的社会保障资金缴存单据或社保机构开具的社会保险参保缴费情况证明，单据或证明上应有社保机构或代收机构的公章或业务专用章。依法不需要缴纳社会保障资金或新成立的供应商应提供相关文件证明</w:t>
      </w:r>
    </w:p>
    <w:p>
      <w:pPr>
        <w:pStyle w:val="null3"/>
      </w:pPr>
      <w:r>
        <w:rPr>
          <w:rFonts w:ascii="仿宋_GB2312" w:hAnsi="仿宋_GB2312" w:cs="仿宋_GB2312" w:eastAsia="仿宋_GB2312"/>
        </w:rPr>
        <w:t>7、信用查询要求：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w:t>
      </w:r>
    </w:p>
    <w:p>
      <w:pPr>
        <w:pStyle w:val="null3"/>
      </w:pPr>
      <w:r>
        <w:rPr>
          <w:rFonts w:ascii="仿宋_GB2312" w:hAnsi="仿宋_GB2312" w:cs="仿宋_GB2312" w:eastAsia="仿宋_GB2312"/>
        </w:rPr>
        <w:t>8、非联合体声明：本项目不接受联合体投标，单位负责人为同一人或者存在直接控股、管理关系的不同投标人，不得参加同一合同项下的政府采购活动（提供非联合体投标声明，包括控股管理声明）</w:t>
      </w:r>
    </w:p>
    <w:p>
      <w:pPr>
        <w:pStyle w:val="null3"/>
      </w:pPr>
      <w:r>
        <w:rPr>
          <w:rFonts w:ascii="仿宋_GB2312" w:hAnsi="仿宋_GB2312" w:cs="仿宋_GB2312" w:eastAsia="仿宋_GB2312"/>
        </w:rPr>
        <w:t>9、重大违法声明：供应商参加采购活动近3年内经营活动中没有重大违法记录声明，以及未被列入失信被执行人、重大税收违法失信主体、政府采购严重违法失信行为记录名单的书面声明</w:t>
      </w:r>
    </w:p>
    <w:p>
      <w:pPr>
        <w:pStyle w:val="null3"/>
      </w:pPr>
      <w:r>
        <w:rPr>
          <w:rFonts w:ascii="仿宋_GB2312" w:hAnsi="仿宋_GB2312" w:cs="仿宋_GB2312" w:eastAsia="仿宋_GB2312"/>
        </w:rPr>
        <w:t>10、专业技术能力声明：提供具有履行本合同所必需的设备和专业技术能力的声明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三原县自然资源局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三原县政府大院西北角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三原县自然资源局</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32285720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三原县政府采购中心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三原县政府街7号三原县财政局</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029-32268653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三原县政府采购管理股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席先生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：029-32268653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三原县自然资源局</w:t>
      </w:r>
      <w:r>
        <w:rPr>
          <w:rFonts w:ascii="仿宋_GB2312" w:hAnsi="仿宋_GB2312" w:cs="仿宋_GB2312" w:eastAsia="仿宋_GB2312"/>
        </w:rPr>
        <w:t>和</w:t>
      </w:r>
      <w:r>
        <w:rPr>
          <w:rFonts w:ascii="仿宋_GB2312" w:hAnsi="仿宋_GB2312" w:cs="仿宋_GB2312" w:eastAsia="仿宋_GB2312"/>
        </w:rPr>
        <w:t>三原县政府采购中心</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三原县自然资源局</w:t>
      </w:r>
      <w:r>
        <w:rPr>
          <w:rFonts w:ascii="仿宋_GB2312" w:hAnsi="仿宋_GB2312" w:cs="仿宋_GB2312" w:eastAsia="仿宋_GB2312"/>
        </w:rPr>
        <w:t>负责解释。除上述磋商文件内容，其他内容由</w:t>
      </w:r>
      <w:r>
        <w:rPr>
          <w:rFonts w:ascii="仿宋_GB2312" w:hAnsi="仿宋_GB2312" w:cs="仿宋_GB2312" w:eastAsia="仿宋_GB2312"/>
        </w:rPr>
        <w:t>三原县政府采购中心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三原县自然资源局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三原县政府采购中心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归甲方所有</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项目全部成果须严格遵循自然资发〔2023〕171 号文件、TD/T1111-2025《城市存量空间盘活优化指南》相关规定编制，完整完成存量空间调查、评估及盘活规划编制工作，各项内容、指标均达到省市相关技术规范与工作要求。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三原县政府采购中心</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三原县政府采购中心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三原县政府采购中心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联系人：王先生</w:t>
      </w:r>
    </w:p>
    <w:p>
      <w:pPr>
        <w:pStyle w:val="null3"/>
      </w:pPr>
      <w:r>
        <w:rPr>
          <w:rFonts w:ascii="仿宋_GB2312" w:hAnsi="仿宋_GB2312" w:cs="仿宋_GB2312" w:eastAsia="仿宋_GB2312"/>
        </w:rPr>
        <w:t>联系电话：029-32268653</w:t>
      </w:r>
    </w:p>
    <w:p>
      <w:pPr>
        <w:pStyle w:val="null3"/>
      </w:pPr>
      <w:r>
        <w:rPr>
          <w:rFonts w:ascii="仿宋_GB2312" w:hAnsi="仿宋_GB2312" w:cs="仿宋_GB2312" w:eastAsia="仿宋_GB2312"/>
        </w:rPr>
        <w:t>地址：三原县政府街7号三原县财政局</w:t>
      </w:r>
    </w:p>
    <w:p>
      <w:pPr>
        <w:pStyle w:val="null3"/>
      </w:pPr>
      <w:r>
        <w:rPr>
          <w:rFonts w:ascii="仿宋_GB2312" w:hAnsi="仿宋_GB2312" w:cs="仿宋_GB2312" w:eastAsia="仿宋_GB2312"/>
        </w:rPr>
        <w:t>邮编：713800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本项目为三原县存量空间盘活利用专项规划项目，由三原县自然资源局发起，需完成县域存量空间调查评估与专项规划编制，指导存量空间盘活、低效用地再开发，助力城市有机更新与高质量发展。</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三原县存量空间盘活利用专项规划项目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标的名称：三原县存量空间盘活利用专项规划项目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left"/>
            </w:pPr>
            <w:r>
              <w:rPr>
                <w:rFonts w:ascii="仿宋_GB2312" w:hAnsi="仿宋_GB2312" w:cs="仿宋_GB2312" w:eastAsia="仿宋_GB2312"/>
                <w:sz w:val="21"/>
                <w:b/>
                <w:color w:val="000000"/>
              </w:rPr>
              <w:t>1、项目总体认知</w:t>
            </w:r>
          </w:p>
          <w:p>
            <w:pPr>
              <w:pStyle w:val="null3"/>
              <w:ind w:firstLine="482"/>
            </w:pPr>
            <w:r>
              <w:rPr>
                <w:rFonts w:ascii="仿宋_GB2312" w:hAnsi="仿宋_GB2312" w:cs="仿宋_GB2312" w:eastAsia="仿宋_GB2312"/>
                <w:sz w:val="21"/>
                <w:color w:val="000000"/>
              </w:rPr>
              <w:t>系统研判三原县中心城区发展阶段、国土空间规划管控要求、城市更新实施导向，厘清存量空间盘活工作目标、实施范围、重点任务，找准存量资源盘活与县域产业升级、人居环境提升、公共服务补短板的结合点，形成清晰的项目总体认知与工作思路。</w:t>
            </w:r>
          </w:p>
          <w:p>
            <w:pPr>
              <w:pStyle w:val="null3"/>
              <w:ind w:firstLine="482"/>
            </w:pPr>
            <w:r>
              <w:rPr>
                <w:rFonts w:ascii="仿宋_GB2312" w:hAnsi="仿宋_GB2312" w:cs="仿宋_GB2312" w:eastAsia="仿宋_GB2312"/>
                <w:sz w:val="21"/>
                <w:b/>
                <w:color w:val="000000"/>
              </w:rPr>
              <w:t>2、存量空间现状调查</w:t>
            </w:r>
          </w:p>
          <w:p>
            <w:pPr>
              <w:pStyle w:val="null3"/>
              <w:ind w:firstLine="482"/>
            </w:pPr>
            <w:r>
              <w:rPr>
                <w:rFonts w:ascii="仿宋_GB2312" w:hAnsi="仿宋_GB2312" w:cs="仿宋_GB2312" w:eastAsia="仿宋_GB2312"/>
                <w:sz w:val="21"/>
                <w:color w:val="000000"/>
              </w:rPr>
              <w:t>严格遵照《城市存量空间盘活优化指南》</w:t>
            </w:r>
            <w:r>
              <w:rPr>
                <w:rFonts w:ascii="仿宋_GB2312" w:hAnsi="仿宋_GB2312" w:cs="仿宋_GB2312" w:eastAsia="仿宋_GB2312"/>
                <w:sz w:val="21"/>
                <w:color w:val="000000"/>
              </w:rPr>
              <w:t>(TD/T1111-2025)、自然资发〔2023〕171 号文件要求，开展中心城区存量资源全域摸排。调查范围涵盖存量用地、存量建筑、存量设施、存量公共空间等类别；重点针对权属、用地性质、建设规模、建成现状、利用效益、现状问题等内容开展全维度实地踏勘与资料梳理，建立标准化存量资源数据库，基础资料完整、台账清晰。</w:t>
            </w:r>
          </w:p>
          <w:p>
            <w:pPr>
              <w:pStyle w:val="null3"/>
              <w:ind w:firstLine="482"/>
            </w:pPr>
            <w:r>
              <w:rPr>
                <w:rFonts w:ascii="仿宋_GB2312" w:hAnsi="仿宋_GB2312" w:cs="仿宋_GB2312" w:eastAsia="仿宋_GB2312"/>
                <w:sz w:val="21"/>
                <w:b/>
                <w:color w:val="000000"/>
              </w:rPr>
              <w:t>3、存量空间潜力评估</w:t>
            </w:r>
          </w:p>
          <w:p>
            <w:pPr>
              <w:pStyle w:val="null3"/>
              <w:ind w:firstLine="482"/>
            </w:pPr>
            <w:r>
              <w:rPr>
                <w:rFonts w:ascii="仿宋_GB2312" w:hAnsi="仿宋_GB2312" w:cs="仿宋_GB2312" w:eastAsia="仿宋_GB2312"/>
                <w:sz w:val="21"/>
                <w:color w:val="000000"/>
              </w:rPr>
              <w:t>结合三原县发展特征，构建适配县域城市的存量空间盘活综合评价指标体系。围绕用地经济效能、区位配套条件、改造实施难度、规划管控约束等维度开展量化评估；评估方法科学规范，指标选取贴合地方实际，各项测算数据来源明确、具备可核查、可溯源条件，形成分区、分类存量空间潜力分级成果，评估结论可直接支撑后续空间引导。</w:t>
            </w:r>
          </w:p>
          <w:p>
            <w:pPr>
              <w:pStyle w:val="null3"/>
              <w:ind w:firstLine="482"/>
            </w:pPr>
            <w:r>
              <w:rPr>
                <w:rFonts w:ascii="仿宋_GB2312" w:hAnsi="仿宋_GB2312" w:cs="仿宋_GB2312" w:eastAsia="仿宋_GB2312"/>
                <w:sz w:val="21"/>
                <w:b/>
                <w:color w:val="000000"/>
              </w:rPr>
              <w:t>4、存量空间发展指引</w:t>
            </w:r>
          </w:p>
          <w:p>
            <w:pPr>
              <w:pStyle w:val="null3"/>
              <w:ind w:firstLine="482"/>
            </w:pPr>
            <w:r>
              <w:rPr>
                <w:rFonts w:ascii="仿宋_GB2312" w:hAnsi="仿宋_GB2312" w:cs="仿宋_GB2312" w:eastAsia="仿宋_GB2312"/>
                <w:sz w:val="21"/>
                <w:color w:val="000000"/>
              </w:rPr>
              <w:t>基于现状调查与潜力评估结果，分类、分区提出存量空间盘活方向、功能引导、更新模式、管控规则与实施路径；统筹产业发展、民生配套、风貌管控、生态安全要求，区分优先盘活、有序盘活、限制盘活等类型制定差异化管控指引，成果具备较强实操性，能够指导后续城市更新、用地处置、项目策划工作。</w:t>
            </w:r>
          </w:p>
          <w:p>
            <w:pPr>
              <w:pStyle w:val="null3"/>
              <w:ind w:firstLine="482"/>
            </w:pPr>
            <w:r>
              <w:rPr>
                <w:rFonts w:ascii="仿宋_GB2312" w:hAnsi="仿宋_GB2312" w:cs="仿宋_GB2312" w:eastAsia="仿宋_GB2312"/>
                <w:sz w:val="21"/>
                <w:b/>
                <w:color w:val="000000"/>
              </w:rPr>
              <w:t>5、项目编制重难点专题研究</w:t>
            </w:r>
          </w:p>
          <w:p>
            <w:pPr>
              <w:pStyle w:val="null3"/>
              <w:ind w:firstLine="482"/>
            </w:pPr>
            <w:r>
              <w:rPr>
                <w:rFonts w:ascii="仿宋_GB2312" w:hAnsi="仿宋_GB2312" w:cs="仿宋_GB2312" w:eastAsia="仿宋_GB2312"/>
                <w:sz w:val="21"/>
                <w:color w:val="000000"/>
              </w:rPr>
              <w:t>针对三原县存量盘活过程中权属协调、规划衔接、政策适用、资金平衡、改造模式选择等重点、难点问题开展专题分析；结合县域案例总结可行解决方案，破解存量空间盘活实施堵点，强化成果落地支撑能力。</w:t>
            </w:r>
          </w:p>
          <w:p>
            <w:pPr>
              <w:pStyle w:val="null3"/>
              <w:ind w:firstLine="482"/>
            </w:pPr>
            <w:r>
              <w:rPr>
                <w:rFonts w:ascii="仿宋_GB2312" w:hAnsi="仿宋_GB2312" w:cs="仿宋_GB2312" w:eastAsia="仿宋_GB2312"/>
                <w:sz w:val="21"/>
                <w:b/>
                <w:color w:val="000000"/>
              </w:rPr>
              <w:t>6、存量空间技术保障体系构建</w:t>
            </w:r>
          </w:p>
          <w:p>
            <w:pPr>
              <w:pStyle w:val="null3"/>
              <w:ind w:firstLine="480"/>
              <w:jc w:val="left"/>
            </w:pPr>
            <w:r>
              <w:rPr>
                <w:rFonts w:ascii="仿宋_GB2312" w:hAnsi="仿宋_GB2312" w:cs="仿宋_GB2312" w:eastAsia="仿宋_GB2312"/>
                <w:sz w:val="21"/>
                <w:color w:val="000000"/>
              </w:rPr>
              <w:t>建立贯穿现状摸排、潜力评估、方案指引全过程的技术保障机制，统一数据标准、底图基准、台账格式；规范资料收集、实地核查、模型测算、成果校验工作流程，保障调查成果、评估结论、发展指引前后逻辑一致；配套数据库、图件、文本台账等全套数字化成果，满足自然资源、住建等主管部门信息化管理使用要求。</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供应商根据项目实际情况配置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供应商根据项目实际情况配置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210个日历日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三原县</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交付成果需严格符合《城市存量空间盘活优化指南》(TD/T1111-2025)、自然资源部低效用地再开发相关规范及采购人技术质量要求，完整完成三原县存量空间调查评估、专项规划编制全流程，确保资料齐全、数据准确、方案合规且通过主管部门合规性审查；乙方完成成果编制后提交完整交付材料，采购人先组织初验，初验合格后联合相关部门、专家开展正式验收，核查成果合规性、完整性与实用性，验收不合格的乙方需按要求限期整改，直至通过最终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预付款，合同签订之日起，达到付款条件起10个工作日内，支付合同总金额的40.0%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进度款，经审核，完成所有成果后提交甲方，达到付款条件起10个工作日内，支付合同总金额的60.0%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合同履行期间甲乙双方若发生违约，违约方需承担全部损失赔偿责任；双方产生争议优先协商、由主管部门调解，协商调解无果的，任一方可向项目所在地有管辖权人民法院提起诉讼。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商务应答表 服务方案 供应商应提交的相关资格证明材料 服务内容及服务要求应答表 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响应主体</w:t>
            </w:r>
          </w:p>
        </w:tc>
        <w:tc>
          <w:tcPr>
            <w:tcW w:type="dxa" w:w="3322"/>
          </w:tcPr>
          <w:p>
            <w:pPr>
              <w:pStyle w:val="null3"/>
            </w:pPr>
            <w:r>
              <w:rPr>
                <w:rFonts w:ascii="仿宋_GB2312" w:hAnsi="仿宋_GB2312" w:cs="仿宋_GB2312" w:eastAsia="仿宋_GB2312"/>
              </w:rPr>
              <w:t>独立承担民事责任的法人或其他组织有效的营业执照（或统一社会信用代码的营业执照）等相应证明文件，自然人的提供身份证明文件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资格证明</w:t>
            </w:r>
          </w:p>
        </w:tc>
        <w:tc>
          <w:tcPr>
            <w:tcW w:type="dxa" w:w="3322"/>
          </w:tcPr>
          <w:p>
            <w:pPr>
              <w:pStyle w:val="null3"/>
            </w:pPr>
            <w:r>
              <w:rPr>
                <w:rFonts w:ascii="仿宋_GB2312" w:hAnsi="仿宋_GB2312" w:cs="仿宋_GB2312" w:eastAsia="仿宋_GB2312"/>
              </w:rPr>
              <w:t>供应商须具备自然资源主管部门核发有效期内城乡规划（国土空间规划）乙级及以上规划编制资质；;拟派项目负责人须具备规划专业中级工程师职称；提供开标截止前 6 个月内任意 1 个月供应商为其缴纳的社保证明。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法定代表人或负责人参加投标时，提供本人身份证，并与营业执照中法定代表人或负责人信息相符；授权代表参加投标时，提供授权书和被授权人身份证；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提供2025年度经审计的财务报告（成立时间至提交响应文件截止时间不足一年的可提供成立后任意时段的资产负债表），或其开标前三个月内银行出具的资信证明，（以上两种形式的资料提供任何一种即可）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提供开标截止时间前6个月内任意1个月的完税证明，完税证明上应有代收机构或税务机关的公章或业务专用章。依法免税或新成立的供应商应提供相关文件证明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开标截止时间前6个月内任意1个月的社会保障资金缴存单据或社保机构开具的社会保险参保缴费情况证明，单据或证明上应有社保机构或代收机构的公章或业务专用章。依法不需要缴纳社会保障资金或新成立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信用查询要求</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本项目不接受联合体投标，单位负责人为同一人或者存在直接控股、管理关系的不同投标人，不得参加同一合同项下的政府采购活动（提供非联合体投标声明，包括控股管理声明）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重大违法声明</w:t>
            </w:r>
          </w:p>
        </w:tc>
        <w:tc>
          <w:tcPr>
            <w:tcW w:type="dxa" w:w="3322"/>
          </w:tcPr>
          <w:p>
            <w:pPr>
              <w:pStyle w:val="null3"/>
            </w:pPr>
            <w:r>
              <w:rPr>
                <w:rFonts w:ascii="仿宋_GB2312" w:hAnsi="仿宋_GB2312" w:cs="仿宋_GB2312" w:eastAsia="仿宋_GB2312"/>
              </w:rPr>
              <w:t>供应商参加采购活动近3年内经营活动中没有重大违法记录声明，以及未被列入失信被执行人、重大税收违法失信主体、政府采购严重违法失信行为记录名单的书面声明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专业技术能力声明</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响应文件完整性</w:t>
            </w:r>
          </w:p>
        </w:tc>
        <w:tc>
          <w:tcPr>
            <w:tcW w:type="dxa" w:w="3322"/>
          </w:tcPr>
          <w:p>
            <w:pPr>
              <w:pStyle w:val="null3"/>
            </w:pPr>
            <w:r>
              <w:rPr>
                <w:rFonts w:ascii="仿宋_GB2312" w:hAnsi="仿宋_GB2312" w:cs="仿宋_GB2312" w:eastAsia="仿宋_GB2312"/>
              </w:rPr>
              <w:t>响应文件构成无重大缺项（详细评审除外）， 按照文件要求的格式编写响应文件</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响应文件报价</w:t>
            </w:r>
          </w:p>
        </w:tc>
        <w:tc>
          <w:tcPr>
            <w:tcW w:type="dxa" w:w="3322"/>
          </w:tcPr>
          <w:p>
            <w:pPr>
              <w:pStyle w:val="null3"/>
            </w:pPr>
            <w:r>
              <w:rPr>
                <w:rFonts w:ascii="仿宋_GB2312" w:hAnsi="仿宋_GB2312" w:cs="仿宋_GB2312" w:eastAsia="仿宋_GB2312"/>
              </w:rPr>
              <w:t>报价唯一，且没有低于成本价或高于采购预算的</w:t>
            </w:r>
          </w:p>
        </w:tc>
        <w:tc>
          <w:tcPr>
            <w:tcW w:type="dxa" w:w="1661"/>
          </w:tcPr>
          <w:p>
            <w:pPr>
              <w:pStyle w:val="null3"/>
            </w:pPr>
            <w:r>
              <w:rPr>
                <w:rFonts w:ascii="仿宋_GB2312" w:hAnsi="仿宋_GB2312" w:cs="仿宋_GB2312" w:eastAsia="仿宋_GB2312"/>
              </w:rPr>
              <w:t>响应文件封面 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响应文件有效性</w:t>
            </w:r>
          </w:p>
        </w:tc>
        <w:tc>
          <w:tcPr>
            <w:tcW w:type="dxa" w:w="3322"/>
          </w:tcPr>
          <w:p>
            <w:pPr>
              <w:pStyle w:val="null3"/>
            </w:pPr>
            <w:r>
              <w:rPr>
                <w:rFonts w:ascii="仿宋_GB2312" w:hAnsi="仿宋_GB2312" w:cs="仿宋_GB2312" w:eastAsia="仿宋_GB2312"/>
              </w:rPr>
              <w:t>响应文件的签署、盖章符合文件要求，供应商 递交的响应文件与本项目名称一致</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有效期、授权有效期</w:t>
            </w:r>
          </w:p>
        </w:tc>
        <w:tc>
          <w:tcPr>
            <w:tcW w:type="dxa" w:w="3322"/>
          </w:tcPr>
          <w:p>
            <w:pPr>
              <w:pStyle w:val="null3"/>
            </w:pPr>
            <w:r>
              <w:rPr>
                <w:rFonts w:ascii="仿宋_GB2312" w:hAnsi="仿宋_GB2312" w:cs="仿宋_GB2312" w:eastAsia="仿宋_GB2312"/>
              </w:rPr>
              <w:t>文件递交截止之日起90日历日</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响应文件响应性</w:t>
            </w:r>
          </w:p>
        </w:tc>
        <w:tc>
          <w:tcPr>
            <w:tcW w:type="dxa" w:w="3322"/>
          </w:tcPr>
          <w:p>
            <w:pPr>
              <w:pStyle w:val="null3"/>
            </w:pPr>
            <w:r>
              <w:rPr>
                <w:rFonts w:ascii="仿宋_GB2312" w:hAnsi="仿宋_GB2312" w:cs="仿宋_GB2312" w:eastAsia="仿宋_GB2312"/>
              </w:rPr>
              <w:t>服务期限响应文件要求</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法律、法规和招标文件规定的其他 无效投标情形</w:t>
            </w:r>
          </w:p>
        </w:tc>
        <w:tc>
          <w:tcPr>
            <w:tcW w:type="dxa" w:w="3322"/>
          </w:tcPr>
          <w:p>
            <w:pPr>
              <w:pStyle w:val="null3"/>
            </w:pPr>
            <w:r>
              <w:rPr>
                <w:rFonts w:ascii="仿宋_GB2312" w:hAnsi="仿宋_GB2312" w:cs="仿宋_GB2312" w:eastAsia="仿宋_GB2312"/>
              </w:rPr>
              <w:t>无法律、法规和招标文件规定的其他无效投标 情形</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对本项目的理解</w:t>
            </w:r>
          </w:p>
        </w:tc>
        <w:tc>
          <w:tcPr>
            <w:tcW w:type="dxa" w:w="2492"/>
          </w:tcPr>
          <w:p>
            <w:pPr>
              <w:pStyle w:val="null3"/>
            </w:pPr>
            <w:r>
              <w:rPr>
                <w:rFonts w:ascii="仿宋_GB2312" w:hAnsi="仿宋_GB2312" w:cs="仿宋_GB2312" w:eastAsia="仿宋_GB2312"/>
              </w:rPr>
              <w:t>针对本项目的理解，内容包括但不限于①对本项目的背景及意义理解②项目需求理解③项目功能定位④项目内容全面认知等。对本项目的理解内容详细完整、针对性强、可行性高，符合项目实际要求。每项满分1分，缺项不得分，每一项项内容存在缺陷，扣0.2分。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项目重难点分析</w:t>
            </w:r>
          </w:p>
        </w:tc>
        <w:tc>
          <w:tcPr>
            <w:tcW w:type="dxa" w:w="2492"/>
          </w:tcPr>
          <w:p>
            <w:pPr>
              <w:pStyle w:val="null3"/>
            </w:pPr>
            <w:r>
              <w:rPr>
                <w:rFonts w:ascii="仿宋_GB2312" w:hAnsi="仿宋_GB2312" w:cs="仿宋_GB2312" w:eastAsia="仿宋_GB2312"/>
              </w:rPr>
              <w:t>针对本项目的重难点分析，包括但不限于①重点难点识别全面性②应对措施针对性③技术衔接与兼容性问题④建议可行性等。方案内容详细完整、针对性强、可行性高，符合项目实际要求。每项满分1分，缺项不得分,每一项项内容存在缺陷，扣0.2分。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技术方案科学性</w:t>
            </w:r>
          </w:p>
        </w:tc>
        <w:tc>
          <w:tcPr>
            <w:tcW w:type="dxa" w:w="2492"/>
          </w:tcPr>
          <w:p>
            <w:pPr>
              <w:pStyle w:val="null3"/>
            </w:pPr>
            <w:r>
              <w:rPr>
                <w:rFonts w:ascii="仿宋_GB2312" w:hAnsi="仿宋_GB2312" w:cs="仿宋_GB2312" w:eastAsia="仿宋_GB2312"/>
              </w:rPr>
              <w:t>针对本项目技术方案科学性，内容包括但不限于①遵循法规与标准的严谨性②基础资料的真实性与完整性③分析方法的适用性与科学性④评价内容的全面性与针对性⑤合理性与依据性⑥成果输出的准确性与实用性⑦不确定性分析的客观性⑧技术创新的适用性与成熟度等内容，方案内容详细完整、针对性强、可行性高，符合项目实际要求。每项满分1分，缺项不得分，每一项项内容存在缺陷，扣0.2分。缺陷是指内容不合理、虽有内容但不完善、内容表述前后不一致、套用其他项目方案或与项目需求不匹配及其他不 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实施 方案</w:t>
            </w:r>
          </w:p>
        </w:tc>
        <w:tc>
          <w:tcPr>
            <w:tcW w:type="dxa" w:w="2492"/>
          </w:tcPr>
          <w:p>
            <w:pPr>
              <w:pStyle w:val="null3"/>
            </w:pPr>
            <w:r>
              <w:rPr>
                <w:rFonts w:ascii="仿宋_GB2312" w:hAnsi="仿宋_GB2312" w:cs="仿宋_GB2312" w:eastAsia="仿宋_GB2312"/>
              </w:rPr>
              <w:t>针对本项目的实施方案，包括①规划思路清晰性②需求匹配度③实施可行性④现状调研⑤功能布局规划⑥绿色环保⑦可持续发展等。方案内容详细完整、针对性强、可行性高，符合项目实际要求。每项满分1分，缺项不得分,每一项项内容存在缺陷，扣0.2分。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方案完整性</w:t>
            </w:r>
          </w:p>
        </w:tc>
        <w:tc>
          <w:tcPr>
            <w:tcW w:type="dxa" w:w="2492"/>
          </w:tcPr>
          <w:p>
            <w:pPr>
              <w:pStyle w:val="null3"/>
            </w:pPr>
            <w:r>
              <w:rPr>
                <w:rFonts w:ascii="仿宋_GB2312" w:hAnsi="仿宋_GB2312" w:cs="仿宋_GB2312" w:eastAsia="仿宋_GB2312"/>
              </w:rPr>
              <w:t>针对本项目的理解，内容包括但不限于①现状分析②回顾性评价③制约因素及解决方案④规划趋势分析等。方案内容详细完整、针对性强、可行性高，符合项目实际要求。 每项满分1分，缺项不得分，每一项项内容存在缺陷，扣0.2分。缺陷是指内 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质量 保障 措施</w:t>
            </w:r>
          </w:p>
        </w:tc>
        <w:tc>
          <w:tcPr>
            <w:tcW w:type="dxa" w:w="2492"/>
          </w:tcPr>
          <w:p>
            <w:pPr>
              <w:pStyle w:val="null3"/>
            </w:pPr>
            <w:r>
              <w:rPr>
                <w:rFonts w:ascii="仿宋_GB2312" w:hAnsi="仿宋_GB2312" w:cs="仿宋_GB2312" w:eastAsia="仿宋_GB2312"/>
              </w:rPr>
              <w:t>供应商应提供完善的质量保障措施，包括但不限于①质量管理制度及保障措施②后续服务保障措施及服务承诺③项目管理机构职责分工④档案管理措施⑤验收管理措施。方案内容详细完整、针对性强、可行性高，符合项目实际要求。每项满分1分，缺项不得分，每一项项内容存在缺陷，扣0.2分。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 进度</w:t>
            </w:r>
          </w:p>
        </w:tc>
        <w:tc>
          <w:tcPr>
            <w:tcW w:type="dxa" w:w="2492"/>
          </w:tcPr>
          <w:p>
            <w:pPr>
              <w:pStyle w:val="null3"/>
            </w:pPr>
            <w:r>
              <w:rPr>
                <w:rFonts w:ascii="仿宋_GB2312" w:hAnsi="仿宋_GB2312" w:cs="仿宋_GB2312" w:eastAsia="仿宋_GB2312"/>
              </w:rPr>
              <w:t>针对本项目提供的项目进度计划，内容包括但不限于①进度安排合理性②进度保障措施等内容。方案内容详细完整、针对性强、可行性高，符合项目实际要求。每项满分2分，缺项不得分，每一项项内容存在缺陷，扣0.2分。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售后服务承诺</w:t>
            </w:r>
          </w:p>
        </w:tc>
        <w:tc>
          <w:tcPr>
            <w:tcW w:type="dxa" w:w="2492"/>
          </w:tcPr>
          <w:p>
            <w:pPr>
              <w:pStyle w:val="null3"/>
            </w:pPr>
            <w:r>
              <w:rPr>
                <w:rFonts w:ascii="仿宋_GB2312" w:hAnsi="仿宋_GB2312" w:cs="仿宋_GB2312" w:eastAsia="仿宋_GB2312"/>
              </w:rPr>
              <w:t>针对本项目进度计划、质量管控及服务承诺，内容包括但不限于①成果交付后的答疑与修改服务②项目质保期及质保期内维护服务③技术支持与培训服务④长期技术支持与应急响应机制等内容，方案内容详细完整、针对性强、可行性高，符合项目实际要求。每项满分1分，缺项不得分,每一项项内容存在缺陷，扣0.2分。缺陷是指内容不合理、虽有内容但 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 配备</w:t>
            </w:r>
          </w:p>
        </w:tc>
        <w:tc>
          <w:tcPr>
            <w:tcW w:type="dxa" w:w="2492"/>
          </w:tcPr>
          <w:p>
            <w:pPr>
              <w:pStyle w:val="null3"/>
            </w:pPr>
            <w:r>
              <w:rPr>
                <w:rFonts w:ascii="仿宋_GB2312" w:hAnsi="仿宋_GB2312" w:cs="仿宋_GB2312" w:eastAsia="仿宋_GB2312"/>
              </w:rPr>
              <w:t>项目组人员：（除项目负责人）具有相关专业高级及以上职称人员，每配备 1 名得5分，具有相关专业中级职称人员，每配备 1 名得 2分。 本项满分25分。注：投标时须提供对应人员职称证书、身份证复印件并加盖投标人公章，未按要求提供有效佐证材料的人员不计分（同一人员同时具备高级、中级职称的，仅按最高级职称计分，不重复累加分。所有参与计分的职称人员，均须提供开标前半年内任意一个月的社保缴纳证明，无有效社保佐证的人员不予计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公司业绩</w:t>
            </w:r>
          </w:p>
        </w:tc>
        <w:tc>
          <w:tcPr>
            <w:tcW w:type="dxa" w:w="2492"/>
          </w:tcPr>
          <w:p>
            <w:pPr>
              <w:pStyle w:val="null3"/>
            </w:pPr>
            <w:r>
              <w:rPr>
                <w:rFonts w:ascii="仿宋_GB2312" w:hAnsi="仿宋_GB2312" w:cs="仿宋_GB2312" w:eastAsia="仿宋_GB2312"/>
              </w:rPr>
              <w:t>近三年内（2023年1月-至今）有类似项目业绩的，每份计5分，计满25分为止。注：业绩以中标通知书或合同为准，时间以中标通知书发出时间或合同签订时间为准。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关于印发《政府采购竞争性磋商采购方式管理暂行办法》的通知财库〔2014〕214号的有关规定：综合评分法中的价格分统一采用低价优先法计算，即满足磋商文件要求且最后报价最低的供应商的价格为磋商基准价，其价格分为满分。其他供应商的价格分统一按照下列公式计算： 磋商报价得分=（磋商基准价/最后磋商报价）×价格权值×100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 (2).docx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