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版本号：SCIT-ZC-SX202607000420260706001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2026-2027学年校园招聘会布展服务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SCIT-ZC-SX2026070004</w:t>
      </w:r>
      <w:r>
        <w:br/>
      </w:r>
      <w:r>
        <w:br/>
      </w:r>
      <w:r>
        <w:br/>
      </w:r>
    </w:p>
    <w:p>
      <w:pPr>
        <w:pStyle w:val="null3"/>
        <w:jc w:val="center"/>
        <w:outlineLvl w:val="2"/>
      </w:pPr>
      <w:r>
        <w:rPr>
          <w:rFonts w:ascii="仿宋_GB2312" w:hAnsi="仿宋_GB2312" w:cs="仿宋_GB2312" w:eastAsia="仿宋_GB2312"/>
          <w:sz w:val="28"/>
          <w:b/>
        </w:rPr>
        <w:t>西安邮电大学</w:t>
      </w:r>
    </w:p>
    <w:p>
      <w:pPr>
        <w:pStyle w:val="null3"/>
        <w:jc w:val="center"/>
        <w:outlineLvl w:val="2"/>
      </w:pPr>
      <w:r>
        <w:rPr>
          <w:rFonts w:ascii="仿宋_GB2312" w:hAnsi="仿宋_GB2312" w:cs="仿宋_GB2312" w:eastAsia="仿宋_GB2312"/>
          <w:sz w:val="28"/>
          <w:b/>
        </w:rPr>
        <w:t>四川国际招标有限责任公司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四川国际招标有限责任公司</w:t>
      </w:r>
      <w:r>
        <w:rPr>
          <w:rFonts w:ascii="仿宋_GB2312" w:hAnsi="仿宋_GB2312" w:cs="仿宋_GB2312" w:eastAsia="仿宋_GB2312"/>
        </w:rPr>
        <w:t>（以下简称“代理机构”）受</w:t>
      </w:r>
      <w:r>
        <w:rPr>
          <w:rFonts w:ascii="仿宋_GB2312" w:hAnsi="仿宋_GB2312" w:cs="仿宋_GB2312" w:eastAsia="仿宋_GB2312"/>
        </w:rPr>
        <w:t>西安邮电大学</w:t>
      </w:r>
      <w:r>
        <w:rPr>
          <w:rFonts w:ascii="仿宋_GB2312" w:hAnsi="仿宋_GB2312" w:cs="仿宋_GB2312" w:eastAsia="仿宋_GB2312"/>
        </w:rPr>
        <w:t>委托，拟对</w:t>
      </w:r>
      <w:r>
        <w:rPr>
          <w:rFonts w:ascii="仿宋_GB2312" w:hAnsi="仿宋_GB2312" w:cs="仿宋_GB2312" w:eastAsia="仿宋_GB2312"/>
        </w:rPr>
        <w:t>2026-2027学年校园招聘会布展服务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SCIT-ZC-SX2026070004</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2026-2027学年校园招聘会布展服务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本项目共1个包 ，用于2026-2027学年校园招聘会布展服务（具体详见磋商文件）； 项目用途：自用；采购预算：488000元。</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采购包1（校园招聘会布展服务）：属于专门面向中小企业采购。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书及被授权人身份证明：法定代表人授权书及被授权人身份证明及被授权人磋商截止前六个月内任意一个月（不含磋商当月）在本公司缴纳的社保证明（法定代表人直接参与磋商只须提交其身份证明）； 供应商需在项目电子化交易系统中按要求进行电子签章。</w:t>
      </w:r>
    </w:p>
    <w:p>
      <w:pPr>
        <w:pStyle w:val="null3"/>
      </w:pPr>
      <w:r>
        <w:rPr>
          <w:rFonts w:ascii="仿宋_GB2312" w:hAnsi="仿宋_GB2312" w:cs="仿宋_GB2312" w:eastAsia="仿宋_GB2312"/>
        </w:rPr>
        <w:t>2、信用查询：供应商未被列入失信被执行人、重大税收违法案件当事人名单、政府采购严重违法失信行为记录；采购人或采购代理机构将于本项目磋商截止日在‘信用中国’网站、‘中国政府采购网’网站等渠道对供应商进行信用记录查询，凡被列入失信被执行人、重大税收违法案件当事人名单、政府采购严重违法失信行为记录名单的，视为存在不良信用记录，参与本项目的将被拒绝。</w:t>
      </w:r>
    </w:p>
    <w:p>
      <w:pPr>
        <w:pStyle w:val="null3"/>
      </w:pPr>
      <w:r>
        <w:rPr>
          <w:rFonts w:ascii="仿宋_GB2312" w:hAnsi="仿宋_GB2312" w:cs="仿宋_GB2312" w:eastAsia="仿宋_GB2312"/>
        </w:rPr>
        <w:t>3、本采购包专门面向中小企业采购：本项目专门面向中小企业采购，监狱企业、残疾人福利性单位视同小型、微型企业。</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西安邮电大学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西安市长安区西长安街618号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西安邮电大学经办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029-88166850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四川国际招标有限责任公司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西安市高新区唐延路35号旺座现代城G座2301室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郝丽鹏、刘江媚</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029-88854271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采购包1：488,000.00元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采购包1保证金金额：8,000.00元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开户名称：四川国际招标有限责任公司陕西分公司</w:t>
            </w:r>
          </w:p>
          <w:p>
            <w:pPr>
              <w:pStyle w:val="null3"/>
            </w:pPr>
            <w:r>
              <w:rPr>
                <w:rFonts w:ascii="仿宋_GB2312" w:hAnsi="仿宋_GB2312" w:cs="仿宋_GB2312" w:eastAsia="仿宋_GB2312"/>
              </w:rPr>
              <w:t>开户银行：中国民生银行股份有限公司西安高新开发区支行</w:t>
            </w:r>
          </w:p>
          <w:p>
            <w:pPr>
              <w:pStyle w:val="null3"/>
            </w:pPr>
            <w:r>
              <w:rPr>
                <w:rFonts w:ascii="仿宋_GB2312" w:hAnsi="仿宋_GB2312" w:cs="仿宋_GB2312" w:eastAsia="仿宋_GB2312"/>
              </w:rPr>
              <w:t>银行账号：9902001855289748</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说明：（一）本项目履约保证金为合同金额的5%，在合同签订前必须缴纳，履约保证金缴纳形式：成交供应商应当以支票、汇票、本票、保函等非现金形式缴纳。 （二）收款账户：中标后由采购人提供； （三）履约保证金的退付：项目服务期满后无争议，履约保证金将退还至成交供应商账户。</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预算金额为基数，参照国家计委计价格[2002]1980号及发改办价格[2003]857号通知规定，50万元以下的按标准收费，50万元及以上的下浮20%计取费用，按规定计取的费用进行收取，由成交人在领取成交通知书前向招标代理机构交纳招标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西安邮电大学</w:t>
      </w:r>
      <w:r>
        <w:rPr>
          <w:rFonts w:ascii="仿宋_GB2312" w:hAnsi="仿宋_GB2312" w:cs="仿宋_GB2312" w:eastAsia="仿宋_GB2312"/>
        </w:rPr>
        <w:t>和</w:t>
      </w:r>
      <w:r>
        <w:rPr>
          <w:rFonts w:ascii="仿宋_GB2312" w:hAnsi="仿宋_GB2312" w:cs="仿宋_GB2312" w:eastAsia="仿宋_GB2312"/>
        </w:rPr>
        <w:t>四川国际招标有限责任公司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西安邮电大学</w:t>
      </w:r>
      <w:r>
        <w:rPr>
          <w:rFonts w:ascii="仿宋_GB2312" w:hAnsi="仿宋_GB2312" w:cs="仿宋_GB2312" w:eastAsia="仿宋_GB2312"/>
        </w:rPr>
        <w:t>负责解释。除上述磋商文件内容，其他内容由</w:t>
      </w:r>
      <w:r>
        <w:rPr>
          <w:rFonts w:ascii="仿宋_GB2312" w:hAnsi="仿宋_GB2312" w:cs="仿宋_GB2312" w:eastAsia="仿宋_GB2312"/>
        </w:rPr>
        <w:t>四川国际招标有限责任公司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西安邮电大学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四川国际招标有限责任公司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见磋商文件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四川国际招标有限责任公司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四川国际招标有限责任公司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四川国际招标有限责任公司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联系人：郝丽鹏、刘江媚</w:t>
      </w:r>
    </w:p>
    <w:p>
      <w:pPr>
        <w:pStyle w:val="null3"/>
      </w:pPr>
      <w:r>
        <w:rPr>
          <w:rFonts w:ascii="仿宋_GB2312" w:hAnsi="仿宋_GB2312" w:cs="仿宋_GB2312" w:eastAsia="仿宋_GB2312"/>
        </w:rPr>
        <w:t>联系电话：029-88854271</w:t>
      </w:r>
    </w:p>
    <w:p>
      <w:pPr>
        <w:pStyle w:val="null3"/>
      </w:pPr>
      <w:r>
        <w:rPr>
          <w:rFonts w:ascii="仿宋_GB2312" w:hAnsi="仿宋_GB2312" w:cs="仿宋_GB2312" w:eastAsia="仿宋_GB2312"/>
        </w:rPr>
        <w:t>地址：西安市高新区唐延路35号旺座现代城G座2301室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2026-2027学年校园招聘会布展服务项目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488,000.00</w:t>
      </w:r>
    </w:p>
    <w:p>
      <w:pPr>
        <w:pStyle w:val="null3"/>
      </w:pPr>
      <w:r>
        <w:rPr>
          <w:rFonts w:ascii="仿宋_GB2312" w:hAnsi="仿宋_GB2312" w:cs="仿宋_GB2312" w:eastAsia="仿宋_GB2312"/>
        </w:rPr>
        <w:t>采购包最高限价（元）: 488,000.00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2026-2027 学年校园招聘会布展服务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488,000.00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租赁和商务服务业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标的名称：2026-2027 学年校园招聘会布展服务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553"/>
            </w:tblGrid>
            <w:tr>
              <w:tc>
                <w:tcPr>
                  <w:tcW w:type="dxa" w:w="25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1.</w:t>
                  </w:r>
                  <w:r>
                    <w:rPr>
                      <w:rFonts w:ascii="仿宋_GB2312" w:hAnsi="仿宋_GB2312" w:cs="仿宋_GB2312" w:eastAsia="仿宋_GB2312"/>
                      <w:sz w:val="20"/>
                    </w:rPr>
                    <w:t>服务内容和标准：</w:t>
                  </w:r>
                </w:p>
                <w:p>
                  <w:pPr>
                    <w:pStyle w:val="null3"/>
                  </w:pPr>
                  <w:r>
                    <w:rPr>
                      <w:rFonts w:ascii="仿宋_GB2312" w:hAnsi="仿宋_GB2312" w:cs="仿宋_GB2312" w:eastAsia="仿宋_GB2312"/>
                      <w:sz w:val="20"/>
                    </w:rPr>
                    <w:t>1.1 总体要求：需按照每次招聘活动保质保量布置好所需服务内容，提前一天布置招聘活动所需内容，按时完成招聘会布展服务项目的各项要求。</w:t>
                  </w:r>
                </w:p>
                <w:p>
                  <w:pPr>
                    <w:pStyle w:val="null3"/>
                  </w:pPr>
                  <w:r>
                    <w:rPr>
                      <w:rFonts w:ascii="仿宋_GB2312" w:hAnsi="仿宋_GB2312" w:cs="仿宋_GB2312" w:eastAsia="仿宋_GB2312"/>
                      <w:sz w:val="20"/>
                    </w:rPr>
                    <w:t>1.2 服务标准：服务内容为完成招聘会布展服务项目的各项要求的各项内容、此外需安排专人负责对接工作，所用配套设备要符合每场招聘活动的要求。</w:t>
                  </w:r>
                </w:p>
                <w:p>
                  <w:pPr>
                    <w:pStyle w:val="null3"/>
                  </w:pPr>
                  <w:r>
                    <w:rPr>
                      <w:rFonts w:ascii="仿宋_GB2312" w:hAnsi="仿宋_GB2312" w:cs="仿宋_GB2312" w:eastAsia="仿宋_GB2312"/>
                      <w:sz w:val="20"/>
                    </w:rPr>
                    <w:t>1.3 协助做好校园招聘会前期宣传、会场现场情况协调反馈及会后服务工作。</w:t>
                  </w:r>
                </w:p>
                <w:p>
                  <w:pPr>
                    <w:pStyle w:val="null3"/>
                  </w:pPr>
                  <w:r>
                    <w:rPr>
                      <w:rFonts w:ascii="仿宋_GB2312" w:hAnsi="仿宋_GB2312" w:cs="仿宋_GB2312" w:eastAsia="仿宋_GB2312"/>
                      <w:sz w:val="20"/>
                    </w:rPr>
                    <w:t>2.具体服务内容和要求：</w:t>
                  </w:r>
                </w:p>
                <w:p>
                  <w:pPr>
                    <w:pStyle w:val="null3"/>
                  </w:pPr>
                  <w:r>
                    <w:rPr>
                      <w:rFonts w:ascii="仿宋_GB2312" w:hAnsi="仿宋_GB2312" w:cs="仿宋_GB2312" w:eastAsia="仿宋_GB2312"/>
                      <w:sz w:val="20"/>
                    </w:rPr>
                    <w:t xml:space="preserve"> </w:t>
                  </w:r>
                  <w:r>
                    <w:rPr>
                      <w:rFonts w:ascii="仿宋_GB2312" w:hAnsi="仿宋_GB2312" w:cs="仿宋_GB2312" w:eastAsia="仿宋_GB2312"/>
                      <w:sz w:val="20"/>
                    </w:rPr>
                    <w:t>2.1 能够满足每年组织召开约15场及以上大中型招聘活动服务能力，每场大中型招聘会将有100-800家用人单位到校参加招聘会。</w:t>
                  </w:r>
                </w:p>
                <w:p>
                  <w:pPr>
                    <w:pStyle w:val="null3"/>
                  </w:pPr>
                  <w:r>
                    <w:rPr>
                      <w:rFonts w:ascii="仿宋_GB2312" w:hAnsi="仿宋_GB2312" w:cs="仿宋_GB2312" w:eastAsia="仿宋_GB2312"/>
                      <w:sz w:val="20"/>
                    </w:rPr>
                    <w:t>2.2 供应商须至少提前7个工作日做好会务对接，且提前一天布置好会场，如有同时做好相关会务服务工作，保证招聘会正常进行。</w:t>
                  </w:r>
                </w:p>
                <w:p>
                  <w:pPr>
                    <w:pStyle w:val="null3"/>
                  </w:pPr>
                  <w:r>
                    <w:rPr>
                      <w:rFonts w:ascii="仿宋_GB2312" w:hAnsi="仿宋_GB2312" w:cs="仿宋_GB2312" w:eastAsia="仿宋_GB2312"/>
                      <w:sz w:val="20"/>
                    </w:rPr>
                    <w:t>2.3 供应商应按照采购人每次活动需求提供招聘活动各项服务内容要求，具备满足学校对不同类型、不同规模、不同特色要求的招聘会要求；不得私自修改数量、降低服务质量，并且保证招聘活动中提供的各项服务设备完好，提供的服务设备不能有其他单位文字字样，场内所有租赁物品、制作内容和服务内容不能出现任何与招聘活动无关的文字信息；</w:t>
                  </w:r>
                </w:p>
                <w:p>
                  <w:pPr>
                    <w:pStyle w:val="null3"/>
                  </w:pPr>
                  <w:r>
                    <w:rPr>
                      <w:rFonts w:ascii="仿宋_GB2312" w:hAnsi="仿宋_GB2312" w:cs="仿宋_GB2312" w:eastAsia="仿宋_GB2312"/>
                      <w:sz w:val="20"/>
                    </w:rPr>
                    <w:t>2.4 具备自有物料和设备，按照采购人要求，在规定的时间提前完成布置，确保招聘活动现场服务内容的完整无缺和安全保障；</w:t>
                  </w:r>
                </w:p>
                <w:p>
                  <w:pPr>
                    <w:pStyle w:val="null3"/>
                  </w:pPr>
                  <w:r>
                    <w:rPr>
                      <w:rFonts w:ascii="仿宋_GB2312" w:hAnsi="仿宋_GB2312" w:cs="仿宋_GB2312" w:eastAsia="仿宋_GB2312"/>
                      <w:sz w:val="20"/>
                    </w:rPr>
                    <w:t>2.5 负责校园招聘活动期间负责安全秩序，招聘活动结束后应及时撤离本次活动的各项服务设备整理收集、会场撤离和卫生清洁工作。布展过程中必须符合国家有关规范和相关政策，严格执行施工规范、质量标准、安全操作规程、防火规定，安全稳定、保质、按期完成本项目约定的布展内容并按时按要求完成撤展。</w:t>
                  </w:r>
                </w:p>
                <w:p>
                  <w:pPr>
                    <w:pStyle w:val="null3"/>
                  </w:pPr>
                  <w:r>
                    <w:rPr>
                      <w:rFonts w:ascii="仿宋_GB2312" w:hAnsi="仿宋_GB2312" w:cs="仿宋_GB2312" w:eastAsia="仿宋_GB2312"/>
                      <w:sz w:val="20"/>
                    </w:rPr>
                    <w:t xml:space="preserve"> </w:t>
                  </w:r>
                  <w:r>
                    <w:rPr>
                      <w:rFonts w:ascii="仿宋_GB2312" w:hAnsi="仿宋_GB2312" w:cs="仿宋_GB2312" w:eastAsia="仿宋_GB2312"/>
                      <w:sz w:val="20"/>
                    </w:rPr>
                    <w:t>2.6 如遇风雨雪等特殊天气，需制定相关预案并提前做好相关招聘会会展应急准备及布展工作。</w:t>
                  </w:r>
                </w:p>
                <w:p>
                  <w:pPr>
                    <w:pStyle w:val="null3"/>
                  </w:pPr>
                  <w:r>
                    <w:rPr>
                      <w:rFonts w:ascii="仿宋_GB2312" w:hAnsi="仿宋_GB2312" w:cs="仿宋_GB2312" w:eastAsia="仿宋_GB2312"/>
                      <w:sz w:val="20"/>
                    </w:rPr>
                    <w:t xml:space="preserve"> </w:t>
                  </w:r>
                  <w:r>
                    <w:rPr>
                      <w:rFonts w:ascii="仿宋_GB2312" w:hAnsi="仿宋_GB2312" w:cs="仿宋_GB2312" w:eastAsia="仿宋_GB2312"/>
                      <w:sz w:val="20"/>
                    </w:rPr>
                    <w:t xml:space="preserve">2.7 </w:t>
                  </w:r>
                  <w:r>
                    <w:rPr>
                      <w:rFonts w:ascii="仿宋_GB2312" w:hAnsi="仿宋_GB2312" w:cs="仿宋_GB2312" w:eastAsia="仿宋_GB2312"/>
                      <w:sz w:val="20"/>
                    </w:rPr>
                    <w:t>校园招聘会服务项目内容</w:t>
                  </w:r>
                </w:p>
                <w:p>
                  <w:pPr>
                    <w:pStyle w:val="null3"/>
                  </w:pPr>
                  <w:r>
                    <w:rPr>
                      <w:rFonts w:ascii="仿宋_GB2312" w:hAnsi="仿宋_GB2312" w:cs="仿宋_GB2312" w:eastAsia="仿宋_GB2312"/>
                      <w:sz w:val="20"/>
                    </w:rPr>
                    <w:t xml:space="preserve"> </w:t>
                  </w:r>
                  <w:r>
                    <w:rPr>
                      <w:rFonts w:ascii="仿宋_GB2312" w:hAnsi="仿宋_GB2312" w:cs="仿宋_GB2312" w:eastAsia="仿宋_GB2312"/>
                      <w:sz w:val="20"/>
                    </w:rPr>
                    <w:t xml:space="preserve">2.7.1 </w:t>
                  </w:r>
                  <w:r>
                    <w:rPr>
                      <w:rFonts w:ascii="仿宋_GB2312" w:hAnsi="仿宋_GB2312" w:cs="仿宋_GB2312" w:eastAsia="仿宋_GB2312"/>
                      <w:sz w:val="20"/>
                    </w:rPr>
                    <w:t>校园招聘会所需会场布展主要服务项目：桁架、桌椅、桌布、帐篷、标准展位、门楣、</w:t>
                  </w:r>
                  <w:r>
                    <w:rPr>
                      <w:rFonts w:ascii="仿宋_GB2312" w:hAnsi="仿宋_GB2312" w:cs="仿宋_GB2312" w:eastAsia="仿宋_GB2312"/>
                      <w:sz w:val="20"/>
                    </w:rPr>
                    <w:t>LED大屏、空飘、道旗、气球拱门、门型展架、铁马、引导牌、软隔离、运费及人工费等项目内容。</w:t>
                  </w:r>
                </w:p>
                <w:p>
                  <w:pPr>
                    <w:pStyle w:val="null3"/>
                  </w:pPr>
                  <w:r>
                    <w:rPr>
                      <w:rFonts w:ascii="仿宋_GB2312" w:hAnsi="仿宋_GB2312" w:cs="仿宋_GB2312" w:eastAsia="仿宋_GB2312"/>
                      <w:sz w:val="20"/>
                    </w:rPr>
                    <w:t xml:space="preserve"> </w:t>
                  </w:r>
                  <w:r>
                    <w:rPr>
                      <w:rFonts w:ascii="仿宋_GB2312" w:hAnsi="仿宋_GB2312" w:cs="仿宋_GB2312" w:eastAsia="仿宋_GB2312"/>
                      <w:sz w:val="20"/>
                    </w:rPr>
                    <w:t xml:space="preserve">2.7.2 </w:t>
                  </w:r>
                  <w:r>
                    <w:rPr>
                      <w:rFonts w:ascii="仿宋_GB2312" w:hAnsi="仿宋_GB2312" w:cs="仿宋_GB2312" w:eastAsia="仿宋_GB2312"/>
                      <w:sz w:val="20"/>
                    </w:rPr>
                    <w:t>会场布展需求主要服务项目指标：</w:t>
                  </w:r>
                </w:p>
                <w:p>
                  <w:pPr>
                    <w:pStyle w:val="null3"/>
                  </w:pPr>
                  <w:r>
                    <w:rPr>
                      <w:rFonts w:ascii="仿宋_GB2312" w:hAnsi="仿宋_GB2312" w:cs="仿宋_GB2312" w:eastAsia="仿宋_GB2312"/>
                      <w:sz w:val="20"/>
                    </w:rPr>
                    <w:t>（</w:t>
                  </w:r>
                  <w:r>
                    <w:rPr>
                      <w:rFonts w:ascii="仿宋_GB2312" w:hAnsi="仿宋_GB2312" w:cs="仿宋_GB2312" w:eastAsia="仿宋_GB2312"/>
                      <w:sz w:val="20"/>
                    </w:rPr>
                    <w:t xml:space="preserve">1）桁架（含设计）：4m*6m </w:t>
                  </w:r>
                  <w:r>
                    <w:rPr>
                      <w:rFonts w:ascii="仿宋_GB2312" w:hAnsi="仿宋_GB2312" w:cs="仿宋_GB2312" w:eastAsia="仿宋_GB2312"/>
                      <w:sz w:val="20"/>
                    </w:rPr>
                    <w:t>；</w:t>
                  </w:r>
                  <w:r>
                    <w:rPr>
                      <w:rFonts w:ascii="仿宋_GB2312" w:hAnsi="仿宋_GB2312" w:cs="仿宋_GB2312" w:eastAsia="仿宋_GB2312"/>
                      <w:sz w:val="20"/>
                    </w:rPr>
                    <w:t>（</w:t>
                  </w:r>
                  <w:r>
                    <w:rPr>
                      <w:rFonts w:ascii="仿宋_GB2312" w:hAnsi="仿宋_GB2312" w:cs="仿宋_GB2312" w:eastAsia="仿宋_GB2312"/>
                      <w:sz w:val="20"/>
                    </w:rPr>
                    <w:t>2）展桌椅（一桌三椅）：1.2m*0.6m</w:t>
                  </w:r>
                  <w:r>
                    <w:rPr>
                      <w:rFonts w:ascii="仿宋_GB2312" w:hAnsi="仿宋_GB2312" w:cs="仿宋_GB2312" w:eastAsia="仿宋_GB2312"/>
                      <w:sz w:val="20"/>
                    </w:rPr>
                    <w:t>；</w:t>
                  </w:r>
                  <w:r>
                    <w:rPr>
                      <w:rFonts w:ascii="仿宋_GB2312" w:hAnsi="仿宋_GB2312" w:cs="仿宋_GB2312" w:eastAsia="仿宋_GB2312"/>
                      <w:sz w:val="19"/>
                    </w:rPr>
                    <w:t xml:space="preserve">      </w:t>
                  </w:r>
                </w:p>
                <w:p>
                  <w:pPr>
                    <w:pStyle w:val="null3"/>
                  </w:pPr>
                  <w:r>
                    <w:rPr>
                      <w:rFonts w:ascii="仿宋_GB2312" w:hAnsi="仿宋_GB2312" w:cs="仿宋_GB2312" w:eastAsia="仿宋_GB2312"/>
                      <w:sz w:val="20"/>
                    </w:rPr>
                    <w:t>（</w:t>
                  </w:r>
                  <w:r>
                    <w:rPr>
                      <w:rFonts w:ascii="仿宋_GB2312" w:hAnsi="仿宋_GB2312" w:cs="仿宋_GB2312" w:eastAsia="仿宋_GB2312"/>
                      <w:sz w:val="20"/>
                    </w:rPr>
                    <w:t>3）桌布：1.2m*0.6m</w:t>
                  </w:r>
                  <w:r>
                    <w:rPr>
                      <w:rFonts w:ascii="仿宋_GB2312" w:hAnsi="仿宋_GB2312" w:cs="仿宋_GB2312" w:eastAsia="仿宋_GB2312"/>
                      <w:sz w:val="20"/>
                    </w:rPr>
                    <w:t>；</w:t>
                  </w:r>
                  <w:r>
                    <w:rPr>
                      <w:rFonts w:ascii="仿宋_GB2312" w:hAnsi="仿宋_GB2312" w:cs="仿宋_GB2312" w:eastAsia="仿宋_GB2312"/>
                      <w:sz w:val="20"/>
                    </w:rPr>
                    <w:t>（</w:t>
                  </w:r>
                  <w:r>
                    <w:rPr>
                      <w:rFonts w:ascii="仿宋_GB2312" w:hAnsi="仿宋_GB2312" w:cs="仿宋_GB2312" w:eastAsia="仿宋_GB2312"/>
                      <w:sz w:val="20"/>
                    </w:rPr>
                    <w:t>4）帐篷3m*3m</w:t>
                  </w:r>
                  <w:r>
                    <w:rPr>
                      <w:rFonts w:ascii="仿宋_GB2312" w:hAnsi="仿宋_GB2312" w:cs="仿宋_GB2312" w:eastAsia="仿宋_GB2312"/>
                      <w:sz w:val="20"/>
                    </w:rPr>
                    <w:t>；</w:t>
                  </w:r>
                  <w:r>
                    <w:rPr>
                      <w:rFonts w:ascii="仿宋_GB2312" w:hAnsi="仿宋_GB2312" w:cs="仿宋_GB2312" w:eastAsia="仿宋_GB2312"/>
                      <w:sz w:val="20"/>
                    </w:rPr>
                    <w:t>（</w:t>
                  </w:r>
                  <w:r>
                    <w:rPr>
                      <w:rFonts w:ascii="仿宋_GB2312" w:hAnsi="仿宋_GB2312" w:cs="仿宋_GB2312" w:eastAsia="仿宋_GB2312"/>
                      <w:sz w:val="20"/>
                    </w:rPr>
                    <w:t>5</w:t>
                  </w:r>
                  <w:r>
                    <w:rPr>
                      <w:rFonts w:ascii="仿宋_GB2312" w:hAnsi="仿宋_GB2312" w:cs="仿宋_GB2312" w:eastAsia="仿宋_GB2312"/>
                      <w:sz w:val="20"/>
                    </w:rPr>
                    <w:t>）标准展位</w:t>
                  </w:r>
                  <w:r>
                    <w:rPr>
                      <w:rFonts w:ascii="仿宋_GB2312" w:hAnsi="仿宋_GB2312" w:cs="仿宋_GB2312" w:eastAsia="仿宋_GB2312"/>
                      <w:sz w:val="20"/>
                    </w:rPr>
                    <w:t>1m*2m</w:t>
                  </w:r>
                  <w:r>
                    <w:rPr>
                      <w:rFonts w:ascii="仿宋_GB2312" w:hAnsi="仿宋_GB2312" w:cs="仿宋_GB2312" w:eastAsia="仿宋_GB2312"/>
                      <w:sz w:val="20"/>
                    </w:rPr>
                    <w:t>；</w:t>
                  </w:r>
                  <w:r>
                    <w:rPr>
                      <w:rFonts w:ascii="仿宋_GB2312" w:hAnsi="仿宋_GB2312" w:cs="仿宋_GB2312" w:eastAsia="仿宋_GB2312"/>
                      <w:sz w:val="20"/>
                    </w:rPr>
                    <w:t>（</w:t>
                  </w:r>
                  <w:r>
                    <w:rPr>
                      <w:rFonts w:ascii="仿宋_GB2312" w:hAnsi="仿宋_GB2312" w:cs="仿宋_GB2312" w:eastAsia="仿宋_GB2312"/>
                      <w:sz w:val="20"/>
                    </w:rPr>
                    <w:t>6</w:t>
                  </w:r>
                  <w:r>
                    <w:rPr>
                      <w:rFonts w:ascii="仿宋_GB2312" w:hAnsi="仿宋_GB2312" w:cs="仿宋_GB2312" w:eastAsia="仿宋_GB2312"/>
                      <w:sz w:val="20"/>
                    </w:rPr>
                    <w:t>）道旗：</w:t>
                  </w:r>
                  <w:r>
                    <w:rPr>
                      <w:rFonts w:ascii="仿宋_GB2312" w:hAnsi="仿宋_GB2312" w:cs="仿宋_GB2312" w:eastAsia="仿宋_GB2312"/>
                      <w:sz w:val="20"/>
                    </w:rPr>
                    <w:t xml:space="preserve">5M </w:t>
                  </w:r>
                  <w:r>
                    <w:rPr>
                      <w:rFonts w:ascii="仿宋_GB2312" w:hAnsi="仿宋_GB2312" w:cs="仿宋_GB2312" w:eastAsia="仿宋_GB2312"/>
                      <w:sz w:val="20"/>
                    </w:rPr>
                    <w:t>；</w:t>
                  </w:r>
                  <w:r>
                    <w:rPr>
                      <w:rFonts w:ascii="仿宋_GB2312" w:hAnsi="仿宋_GB2312" w:cs="仿宋_GB2312" w:eastAsia="仿宋_GB2312"/>
                      <w:sz w:val="20"/>
                    </w:rPr>
                    <w:t>（</w:t>
                  </w:r>
                  <w:r>
                    <w:rPr>
                      <w:rFonts w:ascii="仿宋_GB2312" w:hAnsi="仿宋_GB2312" w:cs="仿宋_GB2312" w:eastAsia="仿宋_GB2312"/>
                      <w:sz w:val="20"/>
                    </w:rPr>
                    <w:t>7</w:t>
                  </w:r>
                  <w:r>
                    <w:rPr>
                      <w:rFonts w:ascii="仿宋_GB2312" w:hAnsi="仿宋_GB2312" w:cs="仿宋_GB2312" w:eastAsia="仿宋_GB2312"/>
                      <w:sz w:val="20"/>
                    </w:rPr>
                    <w:t>）铁马</w:t>
                  </w:r>
                  <w:r>
                    <w:rPr>
                      <w:rFonts w:ascii="仿宋_GB2312" w:hAnsi="仿宋_GB2312" w:cs="仿宋_GB2312" w:eastAsia="仿宋_GB2312"/>
                      <w:sz w:val="20"/>
                    </w:rPr>
                    <w:t>:1*1.5m</w:t>
                  </w:r>
                  <w:r>
                    <w:rPr>
                      <w:rFonts w:ascii="仿宋_GB2312" w:hAnsi="仿宋_GB2312" w:cs="仿宋_GB2312" w:eastAsia="仿宋_GB2312"/>
                      <w:sz w:val="20"/>
                    </w:rPr>
                    <w:t>；</w:t>
                  </w:r>
                  <w:r>
                    <w:rPr>
                      <w:rFonts w:ascii="仿宋_GB2312" w:hAnsi="仿宋_GB2312" w:cs="仿宋_GB2312" w:eastAsia="仿宋_GB2312"/>
                      <w:sz w:val="20"/>
                    </w:rPr>
                    <w:t>（</w:t>
                  </w:r>
                  <w:r>
                    <w:rPr>
                      <w:rFonts w:ascii="仿宋_GB2312" w:hAnsi="仿宋_GB2312" w:cs="仿宋_GB2312" w:eastAsia="仿宋_GB2312"/>
                      <w:sz w:val="20"/>
                    </w:rPr>
                    <w:t>8</w:t>
                  </w:r>
                  <w:r>
                    <w:rPr>
                      <w:rFonts w:ascii="仿宋_GB2312" w:hAnsi="仿宋_GB2312" w:cs="仿宋_GB2312" w:eastAsia="仿宋_GB2312"/>
                      <w:sz w:val="20"/>
                    </w:rPr>
                    <w:t>）引导牌</w:t>
                  </w:r>
                  <w:r>
                    <w:rPr>
                      <w:rFonts w:ascii="仿宋_GB2312" w:hAnsi="仿宋_GB2312" w:cs="仿宋_GB2312" w:eastAsia="仿宋_GB2312"/>
                      <w:sz w:val="20"/>
                    </w:rPr>
                    <w:t>0.6m*0.9m（</w:t>
                  </w:r>
                  <w:r>
                    <w:rPr>
                      <w:rFonts w:ascii="仿宋_GB2312" w:hAnsi="仿宋_GB2312" w:cs="仿宋_GB2312" w:eastAsia="仿宋_GB2312"/>
                      <w:sz w:val="20"/>
                    </w:rPr>
                    <w:t>9</w:t>
                  </w:r>
                  <w:r>
                    <w:rPr>
                      <w:rFonts w:ascii="仿宋_GB2312" w:hAnsi="仿宋_GB2312" w:cs="仿宋_GB2312" w:eastAsia="仿宋_GB2312"/>
                      <w:sz w:val="20"/>
                    </w:rPr>
                    <w:t>）</w:t>
                  </w:r>
                  <w:r>
                    <w:rPr>
                      <w:rFonts w:ascii="仿宋_GB2312" w:hAnsi="仿宋_GB2312" w:cs="仿宋_GB2312" w:eastAsia="仿宋_GB2312"/>
                      <w:sz w:val="20"/>
                    </w:rPr>
                    <w:t>1米软隔离</w:t>
                  </w:r>
                  <w:r>
                    <w:rPr>
                      <w:rFonts w:ascii="仿宋_GB2312" w:hAnsi="仿宋_GB2312" w:cs="仿宋_GB2312" w:eastAsia="仿宋_GB2312"/>
                      <w:sz w:val="20"/>
                    </w:rPr>
                    <w:t>。</w:t>
                  </w:r>
                </w:p>
                <w:p>
                  <w:pPr>
                    <w:pStyle w:val="null3"/>
                    <w:jc w:val="center"/>
                  </w:pPr>
                  <w:r>
                    <w:rPr>
                      <w:rFonts w:ascii="仿宋_GB2312" w:hAnsi="仿宋_GB2312" w:cs="仿宋_GB2312" w:eastAsia="仿宋_GB2312"/>
                      <w:sz w:val="20"/>
                    </w:rPr>
                    <w:t>租赁及服务技术要求</w:t>
                  </w:r>
                </w:p>
                <w:tbl>
                  <w:tblPr>
                    <w:tblBorders>
                      <w:top w:val="none" w:color="000000" w:sz="4"/>
                      <w:left w:val="none" w:color="000000" w:sz="4"/>
                      <w:bottom w:val="none" w:color="000000" w:sz="4"/>
                      <w:right w:val="none" w:color="000000" w:sz="4"/>
                      <w:insideH w:val="none"/>
                      <w:insideV w:val="none"/>
                    </w:tblBorders>
                  </w:tblPr>
                  <w:tblGrid>
                    <w:gridCol w:w="172"/>
                    <w:gridCol w:w="347"/>
                    <w:gridCol w:w="443"/>
                    <w:gridCol w:w="159"/>
                    <w:gridCol w:w="255"/>
                    <w:gridCol w:w="258"/>
                    <w:gridCol w:w="701"/>
                  </w:tblGrid>
                  <w:tr>
                    <w:tc>
                      <w:tcPr>
                        <w:tcW w:type="dxa" w:w="1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序号</w:t>
                        </w:r>
                      </w:p>
                    </w:tc>
                    <w:tc>
                      <w:tcPr>
                        <w:tcW w:type="dxa" w:w="34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项目名称</w:t>
                        </w:r>
                      </w:p>
                    </w:tc>
                    <w:tc>
                      <w:tcPr>
                        <w:tcW w:type="dxa" w:w="44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规格要求</w:t>
                        </w:r>
                      </w:p>
                    </w:tc>
                    <w:tc>
                      <w:tcPr>
                        <w:tcW w:type="dxa" w:w="1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单位</w:t>
                        </w:r>
                      </w:p>
                    </w:tc>
                    <w:tc>
                      <w:tcPr>
                        <w:tcW w:type="dxa" w:w="2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预估数量</w:t>
                        </w:r>
                      </w:p>
                    </w:tc>
                    <w:tc>
                      <w:tcPr>
                        <w:tcW w:type="dxa" w:w="25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单项限价（元）</w:t>
                        </w:r>
                      </w:p>
                    </w:tc>
                    <w:tc>
                      <w:tcPr>
                        <w:tcW w:type="dxa" w:w="70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备注</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帐篷租赁</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招聘会帐篷搭建租赁项目服务</w:t>
                        </w:r>
                      </w:p>
                    </w:tc>
                    <w:tc>
                      <w:tcPr>
                        <w:tcW w:type="dxa" w:w="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套</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1800</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60</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用于招聘会务服务，使用成色</w:t>
                        </w:r>
                        <w:r>
                          <w:rPr>
                            <w:rFonts w:ascii="仿宋_GB2312" w:hAnsi="仿宋_GB2312" w:cs="仿宋_GB2312" w:eastAsia="仿宋_GB2312"/>
                            <w:sz w:val="20"/>
                          </w:rPr>
                          <w:t>≥9成新</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桌椅租赁</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招聘会展位桌椅租赁项目服务</w:t>
                        </w:r>
                      </w:p>
                    </w:tc>
                    <w:tc>
                      <w:tcPr>
                        <w:tcW w:type="dxa" w:w="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套</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2000</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70</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用于招聘会务服务，使用成色</w:t>
                        </w:r>
                        <w:r>
                          <w:rPr>
                            <w:rFonts w:ascii="仿宋_GB2312" w:hAnsi="仿宋_GB2312" w:cs="仿宋_GB2312" w:eastAsia="仿宋_GB2312"/>
                            <w:sz w:val="20"/>
                          </w:rPr>
                          <w:t>≥9成新</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宣传物料（桁架）</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招聘会桁架搭建</w:t>
                        </w:r>
                      </w:p>
                    </w:tc>
                    <w:tc>
                      <w:tcPr>
                        <w:tcW w:type="dxa" w:w="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组</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40</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2000</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用于招聘会务服务，使用成色</w:t>
                        </w:r>
                        <w:r>
                          <w:rPr>
                            <w:rFonts w:ascii="仿宋_GB2312" w:hAnsi="仿宋_GB2312" w:cs="仿宋_GB2312" w:eastAsia="仿宋_GB2312"/>
                            <w:sz w:val="20"/>
                          </w:rPr>
                          <w:t>≥9成新</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宣传物料（展板）</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招聘会企业展板</w:t>
                        </w:r>
                      </w:p>
                    </w:tc>
                    <w:tc>
                      <w:tcPr>
                        <w:tcW w:type="dxa" w:w="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组</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2500</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用于招聘会务服务，使用成色全新</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宣传物料（区域引导牌）</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区域引导牌</w:t>
                        </w:r>
                      </w:p>
                    </w:tc>
                    <w:tc>
                      <w:tcPr>
                        <w:tcW w:type="dxa" w:w="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套</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50</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用于招聘会务服务，使用成色全新</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标准展位</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招聘会展位搭建租赁项目服务</w:t>
                        </w:r>
                        <w:r>
                          <w:rPr>
                            <w:rFonts w:ascii="仿宋_GB2312" w:hAnsi="仿宋_GB2312" w:cs="仿宋_GB2312" w:eastAsia="仿宋_GB2312"/>
                            <w:sz w:val="20"/>
                          </w:rPr>
                          <w:t xml:space="preserve">   </w:t>
                        </w:r>
                      </w:p>
                    </w:tc>
                    <w:tc>
                      <w:tcPr>
                        <w:tcW w:type="dxa" w:w="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组</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300</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180</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用于招聘会务服务，使用成色</w:t>
                        </w:r>
                        <w:r>
                          <w:rPr>
                            <w:rFonts w:ascii="仿宋_GB2312" w:hAnsi="仿宋_GB2312" w:cs="仿宋_GB2312" w:eastAsia="仿宋_GB2312"/>
                            <w:sz w:val="20"/>
                          </w:rPr>
                          <w:t>≥9成新</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双面道旗</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招聘会引导道旗</w:t>
                        </w:r>
                      </w:p>
                    </w:tc>
                    <w:tc>
                      <w:tcPr>
                        <w:tcW w:type="dxa" w:w="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180</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160</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用于招聘会务服务，使用成色全新</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 xml:space="preserve"> </w:t>
                        </w:r>
                        <w:r>
                          <w:rPr>
                            <w:rFonts w:ascii="仿宋_GB2312" w:hAnsi="仿宋_GB2312" w:cs="仿宋_GB2312" w:eastAsia="仿宋_GB2312"/>
                            <w:sz w:val="20"/>
                          </w:rPr>
                          <w:t>铁马</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招聘会隔离</w:t>
                        </w:r>
                      </w:p>
                    </w:tc>
                    <w:tc>
                      <w:tcPr>
                        <w:tcW w:type="dxa" w:w="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580</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40</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用于招聘会务服务，使用成色</w:t>
                        </w:r>
                        <w:r>
                          <w:rPr>
                            <w:rFonts w:ascii="仿宋_GB2312" w:hAnsi="仿宋_GB2312" w:cs="仿宋_GB2312" w:eastAsia="仿宋_GB2312"/>
                            <w:sz w:val="20"/>
                          </w:rPr>
                          <w:t>≥9成新</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 xml:space="preserve"> </w:t>
                        </w:r>
                        <w:r>
                          <w:rPr>
                            <w:rFonts w:ascii="仿宋_GB2312" w:hAnsi="仿宋_GB2312" w:cs="仿宋_GB2312" w:eastAsia="仿宋_GB2312"/>
                            <w:sz w:val="20"/>
                          </w:rPr>
                          <w:t>软隔离</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招聘会隔离</w:t>
                        </w:r>
                      </w:p>
                    </w:tc>
                    <w:tc>
                      <w:tcPr>
                        <w:tcW w:type="dxa" w:w="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1000</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18</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用于招聘会务服务，使用成色</w:t>
                        </w:r>
                        <w:r>
                          <w:rPr>
                            <w:rFonts w:ascii="仿宋_GB2312" w:hAnsi="仿宋_GB2312" w:cs="仿宋_GB2312" w:eastAsia="仿宋_GB2312"/>
                            <w:sz w:val="20"/>
                          </w:rPr>
                          <w:t>≥9成新</w:t>
                        </w:r>
                      </w:p>
                    </w:tc>
                  </w:tr>
                  <w:tr>
                    <w:tc>
                      <w:tcPr>
                        <w:tcW w:type="dxa" w:w="2335"/>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1、每场招聘活动按照采购人要求，在规定的时间提前完成布置，确保招聘活动现场服务内容的完整无缺和安全保障。</w:t>
                        </w:r>
                      </w:p>
                    </w:tc>
                  </w:tr>
                  <w:tr>
                    <w:tc>
                      <w:tcPr>
                        <w:tcW w:type="dxa" w:w="2335"/>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2.以上清单为招聘会所需基础清单，每场招聘活动以最终实际所用活动项目内容、物料及设备种类、数量等相关内容为准，据实结算。</w:t>
                        </w:r>
                        <w:r>
                          <w:rPr>
                            <w:rFonts w:ascii="仿宋_GB2312" w:hAnsi="仿宋_GB2312" w:cs="仿宋_GB2312" w:eastAsia="仿宋_GB2312"/>
                            <w:sz w:val="20"/>
                            <w:b/>
                          </w:rPr>
                          <w:t>供应商各单项报价不得超过各单项限价，否则视为无效响应文件。</w:t>
                        </w:r>
                      </w:p>
                    </w:tc>
                  </w:tr>
                </w:tbl>
                <w:p>
                  <w:pPr>
                    <w:pStyle w:val="null3"/>
                  </w:pPr>
                  <w:r>
                    <w:rPr>
                      <w:rFonts w:ascii="仿宋_GB2312" w:hAnsi="仿宋_GB2312" w:cs="仿宋_GB2312" w:eastAsia="仿宋_GB2312"/>
                      <w:sz w:val="20"/>
                    </w:rPr>
                    <w:t>3.其他要求：</w:t>
                  </w:r>
                </w:p>
                <w:p>
                  <w:pPr>
                    <w:pStyle w:val="null3"/>
                  </w:pPr>
                  <w:r>
                    <w:rPr>
                      <w:rFonts w:ascii="仿宋_GB2312" w:hAnsi="仿宋_GB2312" w:cs="仿宋_GB2312" w:eastAsia="仿宋_GB2312"/>
                      <w:sz w:val="20"/>
                    </w:rPr>
                    <w:t>3.1相关招聘会按照主题、规模、结合采购人的具体服务内容，完成背景设计及延展设计、活动策划方案工作时间计划、会场内部管理制度、组织协调措施、招聘视频直播、服务质量保障措施。</w:t>
                  </w:r>
                </w:p>
                <w:p>
                  <w:pPr>
                    <w:pStyle w:val="null3"/>
                  </w:pPr>
                  <w:r>
                    <w:rPr>
                      <w:rFonts w:ascii="仿宋_GB2312" w:hAnsi="仿宋_GB2312" w:cs="仿宋_GB2312" w:eastAsia="仿宋_GB2312"/>
                      <w:sz w:val="20"/>
                    </w:rPr>
                    <w:t>3.2 对招聘会场地的相关要求进行会场布置，包括但不限于负责协调落实会场设计、会场整体风格和现场搭建工作。会场布局合理、创意独特、构思新颖，具有强烈感染力，对相关会议活动周边进行氛围营造及特色造型。在对设计方案不进行结构性变更的情况下，采购人根据项目需求调整具体项目内容，成交供应商应积极配合。</w:t>
                  </w:r>
                </w:p>
                <w:p>
                  <w:pPr>
                    <w:pStyle w:val="null3"/>
                  </w:pPr>
                  <w:r>
                    <w:rPr>
                      <w:rFonts w:ascii="仿宋_GB2312" w:hAnsi="仿宋_GB2312" w:cs="仿宋_GB2312" w:eastAsia="仿宋_GB2312"/>
                      <w:sz w:val="20"/>
                    </w:rPr>
                    <w:t>3.3成交供应商的工作应在采购人的统一组织、协调与管理下，保证按时、保质、保量完成展位设计、施工、撤展等工作。成交供应商不得以任何借口推诿、阻挠、拖延此项工作的正常开展。</w:t>
                  </w:r>
                </w:p>
                <w:p>
                  <w:pPr>
                    <w:pStyle w:val="null3"/>
                  </w:pPr>
                  <w:r>
                    <w:rPr>
                      <w:rFonts w:ascii="仿宋_GB2312" w:hAnsi="仿宋_GB2312" w:cs="仿宋_GB2312" w:eastAsia="仿宋_GB2312"/>
                      <w:sz w:val="20"/>
                    </w:rPr>
                    <w:t>3.4招聘会服务供应商必须为学校随时保障提供专业的设计团队、服务团队、搭建团队、制作团队、保障团队等，针对实际情况要求做好与招聘项目相关的如：设计、制作、布展、直播待岗等服务，供应商必须满足并保障服务。</w:t>
                  </w:r>
                </w:p>
                <w:p>
                  <w:pPr>
                    <w:pStyle w:val="null3"/>
                  </w:pPr>
                  <w:r>
                    <w:rPr>
                      <w:rFonts w:ascii="仿宋_GB2312" w:hAnsi="仿宋_GB2312" w:cs="仿宋_GB2312" w:eastAsia="仿宋_GB2312"/>
                      <w:sz w:val="19"/>
                    </w:rPr>
                    <w:t xml:space="preserve"> </w:t>
                  </w:r>
                </w:p>
              </w:tc>
            </w:tr>
          </w:tbl>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见磋商文件</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见磋商文件</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见磋商文件</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2026年9月1日至2027年8月31日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西安邮电大学长安校区、雁塔校区适合举办大中小型校园招聘会场所。</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依照采购文件及响应文件、合同条款进行验收，达到国家和行业相关要求，每次会议结束后根据供应商实际执行情况留存相关服务记录及服务情况说明，作为单场次服务情况的验收依据。</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进度款，按照每场招聘活动实际所用的物料及设备种类、数量等内容为准，以每一类物料及设备单价据实结算，每学期结束后10个工作日支付该学期全部价款，达到付款条件起10个工作日内，支付合同总金额的50.0%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进度款，按照每场招聘活动实际所用的物料及设备种类、数量等内容为准，以每一类物料及设备单价据实结算，每学期结束后10个工作日支付该学期全部价款，达到付款条件起10个工作日内，支付合同总金额的50.0%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如因供应商工作人员在履行职务过程中的的疏忽、失职、过错等故意或者过失原因给采购人造成损失或侵害，包括但不限于采购人本身的财产损失、由此而导致的采购人对任何第三方的法律责任等，供应商对此均应承担全部的赔偿责任。在执行本项目合同中发生的或与本合同有关的争端，双方应通过友好协商解决，经协商在规定天数内不能达成协议时，应提交合同签订所在地裁委员会仲裁。仲裁裁决对双方具有约束力。除另有裁决外， 仲裁费应由败诉方负担。在仲裁期间，除正在进行仲裁部分外，合同其他部分继续执行。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注：根据《关于在政府采购活动中对有关美国企业采取相关措施的通知》（财库〔2026〕10号）规定，供应商不得提供该通知中所列46家美国企业（不包括在华美资企业）生产的产品，否则投标（响应）无效”。 3.3商务要求不允许负偏离。</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的能力。（注：①供应商若为企业法人：提供“统一社会信用代码营业执照”；未换证的提供“营业执照、税务登记证、组织机构代码证或三证合一的营业执照”；②若为事业法人：提供“统一社会信用代码法人登记证书”；未换证的提交“事业法人登记证书、组织机构代码证”；③若为其他组织：提供“对应主管部门颁发的准许执业证明文件或营业执照”；④若为自然人：提供“身份证明材料”。以上均提供复印件） 2.具备良好商业信誉的证明材料（按照磋商文件格式提供承诺函）； 3.具备健全的财务会计制度的证明材料。｛注：①可提供2025或2024年度经审计的财务报告复印件（包含审计报告和审计报告中所涉及的财务报表和报表附注），②也可提供供应商内部的2025或2024年度财务报表复印件（至少包含资产负债表），③也可提供截至响应文件递交截止日一年内银行出具的资信证明（复印件），④供应商注册时间截至响应文件递交截止日不足一年的，也可提供加盖工商备案主管部门印章的公司章程复印件，⑤也可提供政府采购信用担保机构出具的《政府采购投标担保函》｝ 4.具有依法缴纳税收和社会保障资金的良好记录（①社会保障资金缴纳证明：提供2025年5月1日至今已缴存的任一月份的社会保障资金缴存单据或社保机构开具的社会保险参保缴费情况证明，依法不需要缴纳社会保障资金的供应商应提供相关文件证明； ）；②提供2025年5月1日至今已缴纳的至少一个月的纳税证明或完税证明，依法免税的单位应提供相关证明材料；）； 5.具备履行合同所必需的设备和专业技术能力的证明材料（按照磋商文件格式提供承诺函）； 6.参加政府采购活动前3年内在经营活动中没有重大违法记录的承诺函（按照磋商文件格式提供承诺函）； 7.具备法律、行政法规规定的其他条件的证明材料（按照磋商文件格式提供承诺函）；供应商需在项目电子化交易系统中按要求填写《投标函》完成承诺并进行电子签章。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①可提供2025或2024年度经审计的财务报告复印件（包含审计报告和审计报告中所涉及的财务报表和报表附注），②也可提供供应商内部的2025或2024年度财务报表复印件（至少包含资产负债表），③也可提供截至响应文件递交截止日一年内银行出具的资信证明（复印件），④供应商注册时间截至响应文件递交截止日不足一年的，也可提供加盖工商备案主管部门印章的公司章程复印件，⑤也可提供政府采购信用担保机构出具的《政府采购投标担保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法定代表人授权书及被授权人身份证明</w:t>
            </w:r>
          </w:p>
        </w:tc>
        <w:tc>
          <w:tcPr>
            <w:tcW w:type="dxa" w:w="3322"/>
          </w:tcPr>
          <w:p>
            <w:pPr>
              <w:pStyle w:val="null3"/>
            </w:pPr>
            <w:r>
              <w:rPr>
                <w:rFonts w:ascii="仿宋_GB2312" w:hAnsi="仿宋_GB2312" w:cs="仿宋_GB2312" w:eastAsia="仿宋_GB2312"/>
              </w:rPr>
              <w:t>法定代表人授权书及被授权人身份证明及被授权人磋商截止前六个月内任意一个月（不含磋商当月）在本公司缴纳的社保证明（法定代表人直接参与磋商只须提交其身份证明）； 供应商需在项目电子化交易系统中按要求进行电子签章。</w:t>
            </w:r>
          </w:p>
        </w:tc>
        <w:tc>
          <w:tcPr>
            <w:tcW w:type="dxa" w:w="1661"/>
          </w:tcPr>
          <w:p>
            <w:pPr>
              <w:pStyle w:val="null3"/>
            </w:pPr>
            <w:r>
              <w:rPr>
                <w:rFonts w:ascii="仿宋_GB2312" w:hAnsi="仿宋_GB2312" w:cs="仿宋_GB2312" w:eastAsia="仿宋_GB2312"/>
              </w:rPr>
              <w:t>法定代表人授权书.docx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未被列入失信被执行人、重大税收违法案件当事人名单、政府采购严重违法失信行为记录；采购人或采购代理机构将于本项目磋商截止日在‘信用中国’网站、‘中国政府采购网’网站等渠道对供应商进行信用记录查询，凡被列入失信被执行人、重大税收违法案件当事人名单、政府采购严重违法失信行为记录名单的，视为存在不良信用记录，参与本项目的将被拒绝。</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本项目专门面向中小企业采购，监狱企业、残疾人福利性单位视同小型、微型企业。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1.未按规定缴纳磋商保证金的； 2.响应文件组成明显不符合采购文件的规定要求，影响磋商小组评判的； 3.响应文件的语言、计量单位、知识产权、响应有效期等不符合采购文件的规定，影响磋商小组评判的； 4.磋商小组经过磋商后，供应商响应文件中技术、服务标准明显不符合磋商文件实质性要求的，或者磋商过程中，磋商小组发现或者知晓供应商存在违法、违纪行为的； 5.属于竞争性磋商文件中无效响应情形的。</w:t>
            </w:r>
          </w:p>
        </w:tc>
        <w:tc>
          <w:tcPr>
            <w:tcW w:type="dxa" w:w="3322"/>
          </w:tcPr>
          <w:p>
            <w:pPr>
              <w:pStyle w:val="null3"/>
            </w:pPr>
            <w:r>
              <w:rPr>
                <w:rFonts w:ascii="仿宋_GB2312" w:hAnsi="仿宋_GB2312" w:cs="仿宋_GB2312" w:eastAsia="仿宋_GB2312"/>
              </w:rPr>
              <w:t>1.未按规定缴纳磋商保证金的； 2.响应文件组成明显不符合采购文件的规定要求，影响磋商小组评判的； 3.响应文件的语言、计量单位、知识产权、响应有效期等不符合采购文件的规定，影响磋商小组评判的； 4.磋商小组经过磋商后，供应商响应文件中技术、服务标准明显不符合磋商文件实质性要求的，或者磋商过程中，磋商小组发现或者知晓供应商存在违法、违纪行为的； 5.属于竞争性磋商文件中无效响应情形的。</w:t>
            </w:r>
          </w:p>
        </w:tc>
        <w:tc>
          <w:tcPr>
            <w:tcW w:type="dxa" w:w="1661"/>
          </w:tcPr>
          <w:p>
            <w:pPr>
              <w:pStyle w:val="null3"/>
            </w:pPr>
            <w:r>
              <w:rPr>
                <w:rFonts w:ascii="仿宋_GB2312" w:hAnsi="仿宋_GB2312" w:cs="仿宋_GB2312" w:eastAsia="仿宋_GB2312"/>
              </w:rPr>
              <w:t>响应文件封面 响应文件其他格式.docx 服务内容及服务要求应答表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服务响应</w:t>
            </w:r>
          </w:p>
        </w:tc>
        <w:tc>
          <w:tcPr>
            <w:tcW w:type="dxa" w:w="2492"/>
          </w:tcPr>
          <w:p>
            <w:pPr>
              <w:pStyle w:val="null3"/>
            </w:pPr>
            <w:r>
              <w:rPr>
                <w:rFonts w:ascii="仿宋_GB2312" w:hAnsi="仿宋_GB2312" w:cs="仿宋_GB2312" w:eastAsia="仿宋_GB2312"/>
              </w:rPr>
              <w:t>技术服务要求中，完全满足磋商文件要求计32分，每有一条负偏离扣2分，扣完为止。 注：以一级序号阿拉伯数字（如 “1.”“2.”“3.”…“1.1”“1.2”“1.3”…）为一项（标题除外）；阿拉伯数字序号下有多级序号的，以最小级阿拉伯数字序号为1项。</w:t>
            </w:r>
          </w:p>
        </w:tc>
        <w:tc>
          <w:tcPr>
            <w:tcW w:type="dxa" w:w="831"/>
          </w:tcPr>
          <w:p>
            <w:pPr>
              <w:pStyle w:val="null3"/>
              <w:jc w:val="right"/>
            </w:pPr>
            <w:r>
              <w:rPr>
                <w:rFonts w:ascii="仿宋_GB2312" w:hAnsi="仿宋_GB2312" w:cs="仿宋_GB2312" w:eastAsia="仿宋_GB2312"/>
              </w:rPr>
              <w:t>32.0000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根据供应商针对本项目提供的服务方案包括但不限于：①背景设计及延展设计方案；②活动策划方案工作时间计划；③会场内部管理制度；④项目对接及组织协调措施；⑤直播策划方案；⑥服务质量保障措施。方案内容齐全、详尽，可行性完全满足磋商文件要求的得12分；每缺一项扣2分，每有一处缺陷的扣0.5分，单项内容要素扣减分值不超过2分，扣完为止。 注：缺陷是指存在项目名称错误、地点区域错误、内容与本项目需求无关、仅有框架或标题、适用的标准（方法）错误、明显复制其他项目内容等任意一种情形。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会场布置方案</w:t>
            </w:r>
          </w:p>
        </w:tc>
        <w:tc>
          <w:tcPr>
            <w:tcW w:type="dxa" w:w="2492"/>
          </w:tcPr>
          <w:p>
            <w:pPr>
              <w:pStyle w:val="null3"/>
            </w:pPr>
            <w:r>
              <w:rPr>
                <w:rFonts w:ascii="仿宋_GB2312" w:hAnsi="仿宋_GB2312" w:cs="仿宋_GB2312" w:eastAsia="仿宋_GB2312"/>
              </w:rPr>
              <w:t>根据供应商提供的针对本次招聘会会场布置方案，包含①会场整体设计风格；②会场布局及安全文明措施；③会场选用设备情况及整体氛围搭建；方案完整提供得6分；每缺一项扣2分，每有一处缺陷的扣0.5分，扣完为止。 注：缺陷是指存在项目名称错误、地点区域错误、内容与本项目需求无关、仅有框架或标题、适用的标准（方法）错误、明显复制其他项目内容等任意一种情形。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针对学校情况、现场情况等指定人员配备情况①配备人员数量及结构②工作人员经验及专业能力③人员各岗位职划分④人员专业素养及专业培训情况，方案完整提供得8分；每缺一项扣2分，每有一处缺陷的扣0.5分，扣完为止。 注：缺陷是指存在项目名称错误、地点区域错误、内容与本项目需求无关、仅有框架或标题、适用的标准（方法）错误、明显复制其他项目内容等任意一种情形。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应急措施、特色服务及物流方案</w:t>
            </w:r>
          </w:p>
        </w:tc>
        <w:tc>
          <w:tcPr>
            <w:tcW w:type="dxa" w:w="2492"/>
          </w:tcPr>
          <w:p>
            <w:pPr>
              <w:pStyle w:val="null3"/>
            </w:pPr>
            <w:r>
              <w:rPr>
                <w:rFonts w:ascii="仿宋_GB2312" w:hAnsi="仿宋_GB2312" w:cs="仿宋_GB2312" w:eastAsia="仿宋_GB2312"/>
              </w:rPr>
              <w:t>有明确的①安全保障方案及突发事件处理方案，出现问题有具体可行的补救措施，能够确保活动正常进行，如现场出现因天气原因、现场环境异样等在服务团队专业性、项目负责人员应对方案②物料、专业工具设备等处置以及调整方案；③特色服务内容方案。方案完整提供得6分；每缺一项扣2分，每有一处缺陷的扣0.5分，扣完为止。 注：缺陷是指存在项目名称错误、地点区域错误、内容与本项目需求无关、仅有框架或标题、适用的标准（方法）错误、明显复制其他项目内容等任意一种情形。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根据供应商2023年01月01日至磋商响应截止时间同类业绩，每提供一份有效合同得2分，最高得12分。注：以合同签订时间为准，需提供合同复印件。</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促就业有关活动方案</w:t>
            </w:r>
          </w:p>
        </w:tc>
        <w:tc>
          <w:tcPr>
            <w:tcW w:type="dxa" w:w="2492"/>
          </w:tcPr>
          <w:p>
            <w:pPr>
              <w:pStyle w:val="null3"/>
            </w:pPr>
            <w:r>
              <w:rPr>
                <w:rFonts w:ascii="仿宋_GB2312" w:hAnsi="仿宋_GB2312" w:cs="仿宋_GB2312" w:eastAsia="仿宋_GB2312"/>
              </w:rPr>
              <w:t>根据供应商按照教育部和省教育厅有关促就业活动方案提供的①专用直播带岗方案；②百日冲刺服务方案清单和证明材料（包括但不限于自有证明、租赁合同等证明材料等）进行综合比较，方案完整提供得4分；每缺一项扣2分，每有一处缺陷的扣0.5分，扣完为止。 注：缺陷是指存在项目名称错误、地点区域错误、内容与本项目需求无关、仅有框架或标题、适用的标准（方法）错误、明显复制其他项目内容等任意一种情形。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以本次最低有效磋商物料单价（最终）为基准价，磋商报价得分=(磋商基准价÷磋商最后报价)×权值×100。 注：1.招聘会帐篷搭建租赁项目服务价格分值满分5分；招聘会桌椅租赁项目服务价格分值满分5分；宣传物料（桁架、展板、区域引导牌合计）价格分值满分5分。其余项（标准展位、双面道旗、铁马、软隔离合计）价格分满分5分。 2.磋商报价得分为招聘会帐篷搭建租赁项目服务价格分值、招聘会展位桌椅租赁项目服务价格分值、宣传物料（桁架、展板、区域引导牌合计）价格分值和其余项其余项（标准展位、双面道旗、铁马、软隔离合计）价格分值之和。</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详见附件：法定代表人授权书.docx</w:t>
      </w:r>
    </w:p>
    <w:p>
      <w:pPr>
        <w:pStyle w:val="null3"/>
        <w:ind w:firstLine="960"/>
      </w:pPr>
      <w:r>
        <w:rPr>
          <w:rFonts w:ascii="仿宋_GB2312" w:hAnsi="仿宋_GB2312" w:cs="仿宋_GB2312" w:eastAsia="仿宋_GB2312"/>
        </w:rPr>
        <w:t>详见附件：响应文件其他格式.docx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详见附件：邮电--服务类合同模板.docx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