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版本号：XHZB-26-07220260716001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张良庙北碑廊、授书楼保护修缮工程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XHZB-26-072</w:t>
      </w:r>
      <w:r>
        <w:br/>
      </w:r>
      <w:r>
        <w:br/>
      </w:r>
      <w:r>
        <w:br/>
      </w:r>
    </w:p>
    <w:p>
      <w:pPr>
        <w:pStyle w:val="null3"/>
        <w:jc w:val="center"/>
        <w:outlineLvl w:val="2"/>
      </w:pPr>
      <w:r>
        <w:rPr>
          <w:rFonts w:ascii="仿宋_GB2312" w:hAnsi="仿宋_GB2312" w:cs="仿宋_GB2312" w:eastAsia="仿宋_GB2312"/>
          <w:sz w:val="28"/>
          <w:b/>
        </w:rPr>
        <w:t>陕西省留坝县张良庙博物馆</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陕西省留坝县张良庙博物馆</w:t>
      </w:r>
      <w:r>
        <w:rPr>
          <w:rFonts w:ascii="仿宋_GB2312" w:hAnsi="仿宋_GB2312" w:cs="仿宋_GB2312" w:eastAsia="仿宋_GB2312"/>
        </w:rPr>
        <w:t>委托，拟对</w:t>
      </w:r>
      <w:r>
        <w:rPr>
          <w:rFonts w:ascii="仿宋_GB2312" w:hAnsi="仿宋_GB2312" w:cs="仿宋_GB2312" w:eastAsia="仿宋_GB2312"/>
        </w:rPr>
        <w:t>张良庙北碑廊、授书楼保护修缮工程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张良庙北碑廊、授书楼保护修缮工程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该项目位于汉中市留坝县张良庙院内，北碑廊（北花园北侧碑廊和廊亭）、授书楼本体保护修缮。北碑廊建筑面积约150平米，授书楼建筑面积约140平方米。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采购包1（张良庙北碑廊、授书楼保护修缮工程）：属于专门面向中小企业采购。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p>
      <w:pPr>
        <w:pStyle w:val="null3"/>
      </w:pPr>
      <w:r>
        <w:rPr>
          <w:rFonts w:ascii="仿宋_GB2312" w:hAnsi="仿宋_GB2312" w:cs="仿宋_GB2312" w:eastAsia="仿宋_GB2312"/>
        </w:rPr>
        <w:t>2、资质要求：具备国家文物局颁发的文物保护工程施工一级资质（业务范围包含"古建筑"），且具备有效的安全生产许可证；</w:t>
      </w:r>
    </w:p>
    <w:p>
      <w:pPr>
        <w:pStyle w:val="null3"/>
      </w:pPr>
      <w:r>
        <w:rPr>
          <w:rFonts w:ascii="仿宋_GB2312" w:hAnsi="仿宋_GB2312" w:cs="仿宋_GB2312" w:eastAsia="仿宋_GB2312"/>
        </w:rPr>
        <w:t>3、拟派项目负责人（项目经理）要求：具备文物保护工程责任工程师证（从业范围包含“古建筑”），且无在建项目；</w:t>
      </w:r>
    </w:p>
    <w:p>
      <w:pPr>
        <w:pStyle w:val="null3"/>
      </w:pPr>
      <w:r>
        <w:rPr>
          <w:rFonts w:ascii="仿宋_GB2312" w:hAnsi="仿宋_GB2312" w:cs="仿宋_GB2312" w:eastAsia="仿宋_GB2312"/>
        </w:rPr>
        <w:t>4、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5、关联关系：单位负责人为同一人或者存在直接控股、管理关系的不同供应商，不得参加同一合同包下的政府采购活动；</w:t>
      </w:r>
    </w:p>
    <w:p>
      <w:pPr>
        <w:pStyle w:val="null3"/>
      </w:pPr>
      <w:r>
        <w:rPr>
          <w:rFonts w:ascii="仿宋_GB2312" w:hAnsi="仿宋_GB2312" w:cs="仿宋_GB2312" w:eastAsia="仿宋_GB2312"/>
        </w:rPr>
        <w:t>6、联合体：本项目不接受联合体磋商。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陕西省留坝县张良庙博物馆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留坝县留侯镇庙台子村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杨虎山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0916-3966003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采购包1：1,014,851.00元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金额为基数，参照国家计委关于印发《招标代理服务收费管理暂行办法》的通知（计价格〔2002〕1980号）、《国家发展和改革委员会办公厅关于招标代理服务收费有关问题的通知》（发改办价格〔2003〕857号），以成交价为基数，按照工程类计算收取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陕西省留坝县张良庙博物馆</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陕西省留坝县张良庙博物馆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陕西省留坝县张良庙博物馆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同时保证，本项目交付的所有工作成果，不会因第三方主张专利权、商标权、著作权或其他知识产权引发任何法律和经济纠纷；若出现相关侵权索赔、诉讼情形，由供应商承担全部责任，负责全程处理相关争议，并全额赔偿采购人因此产生的所有损失，包括但不限于赔偿金、诉讼费、律师费、公证费、鉴定费等全部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地址：陕西省西安市曲江新区雁翔路曲江文创中心第7幢1单元24层12404号房</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1,014,851.00</w:t>
      </w:r>
    </w:p>
    <w:p>
      <w:pPr>
        <w:pStyle w:val="null3"/>
      </w:pPr>
      <w:r>
        <w:rPr>
          <w:rFonts w:ascii="仿宋_GB2312" w:hAnsi="仿宋_GB2312" w:cs="仿宋_GB2312" w:eastAsia="仿宋_GB2312"/>
        </w:rPr>
        <w:t>采购包最高限价（元）: 1,014,851.00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1,014,851.00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1.工期：自合同签订之日起90日历天</w:t>
            </w:r>
          </w:p>
          <w:p>
            <w:pPr>
              <w:pStyle w:val="null3"/>
              <w:spacing w:before="105" w:after="105"/>
              <w:jc w:val="left"/>
            </w:pPr>
            <w:r>
              <w:rPr>
                <w:rFonts w:ascii="仿宋_GB2312" w:hAnsi="仿宋_GB2312" w:cs="仿宋_GB2312" w:eastAsia="仿宋_GB2312"/>
                <w:sz w:val="24"/>
              </w:rPr>
              <w:t>2.招标范围：施工图纸及工程量清单范围的所有内容</w:t>
            </w:r>
          </w:p>
          <w:p>
            <w:pPr>
              <w:pStyle w:val="null3"/>
              <w:spacing w:before="105" w:after="105"/>
              <w:jc w:val="left"/>
            </w:pPr>
            <w:r>
              <w:rPr>
                <w:rFonts w:ascii="仿宋_GB2312" w:hAnsi="仿宋_GB2312" w:cs="仿宋_GB2312" w:eastAsia="仿宋_GB2312"/>
                <w:sz w:val="24"/>
              </w:rPr>
              <w:t>3.工程质量标准：达到国家现行行业施工验收规范“合格”标准</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工程规范</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承包人在施工过程中使用或参考上述标准、规范以外的技术标准、规范时，应征得业主或业主指定代表人的同意。</w:t>
            </w:r>
          </w:p>
          <w:p>
            <w:pPr>
              <w:pStyle w:val="null3"/>
              <w:spacing w:before="105" w:after="105"/>
              <w:jc w:val="left"/>
            </w:pPr>
            <w:r>
              <w:rPr>
                <w:rFonts w:ascii="仿宋_GB2312" w:hAnsi="仿宋_GB2312" w:cs="仿宋_GB2312" w:eastAsia="仿宋_GB2312"/>
                <w:sz w:val="24"/>
              </w:rPr>
              <w:t>③</w:t>
            </w:r>
            <w:r>
              <w:rPr>
                <w:rFonts w:ascii="仿宋_GB2312" w:hAnsi="仿宋_GB2312" w:cs="仿宋_GB2312" w:eastAsia="仿宋_GB2312"/>
                <w:sz w:val="24"/>
              </w:rPr>
              <w:t>在施工过程中，如果国家或有关部门颁布了新的技术标准或规范，则承包人应采用新的标准或规范进行施工。</w:t>
            </w:r>
          </w:p>
          <w:p>
            <w:pPr>
              <w:pStyle w:val="null3"/>
              <w:spacing w:before="105" w:after="105"/>
              <w:jc w:val="left"/>
            </w:pPr>
            <w:r>
              <w:rPr>
                <w:rFonts w:ascii="仿宋_GB2312" w:hAnsi="仿宋_GB2312" w:cs="仿宋_GB2312" w:eastAsia="仿宋_GB2312"/>
                <w:sz w:val="24"/>
              </w:rPr>
              <w:t>④</w:t>
            </w:r>
            <w:r>
              <w:rPr>
                <w:rFonts w:ascii="仿宋_GB2312" w:hAnsi="仿宋_GB2312" w:cs="仿宋_GB2312" w:eastAsia="仿宋_GB2312"/>
                <w:sz w:val="24"/>
              </w:rPr>
              <w:t>有关标准、要求不一致时，以要求高（严）者为准。</w:t>
            </w:r>
          </w:p>
          <w:p>
            <w:pPr>
              <w:pStyle w:val="null3"/>
              <w:spacing w:before="105" w:after="105"/>
              <w:jc w:val="left"/>
            </w:pPr>
            <w:r>
              <w:rPr>
                <w:rFonts w:ascii="仿宋_GB2312" w:hAnsi="仿宋_GB2312" w:cs="仿宋_GB2312" w:eastAsia="仿宋_GB2312"/>
                <w:sz w:val="24"/>
              </w:rPr>
              <w:t>5.</w:t>
            </w:r>
            <w:r>
              <w:rPr>
                <w:rFonts w:ascii="仿宋_GB2312" w:hAnsi="仿宋_GB2312" w:cs="仿宋_GB2312" w:eastAsia="仿宋_GB2312"/>
                <w:sz w:val="24"/>
              </w:rPr>
              <w:t>工程量清单：详见附件</w:t>
            </w:r>
          </w:p>
          <w:p>
            <w:pPr>
              <w:pStyle w:val="null3"/>
              <w:spacing w:before="105" w:after="105"/>
              <w:jc w:val="left"/>
            </w:pPr>
            <w:r>
              <w:rPr>
                <w:rFonts w:ascii="仿宋_GB2312" w:hAnsi="仿宋_GB2312" w:cs="仿宋_GB2312" w:eastAsia="仿宋_GB2312"/>
                <w:sz w:val="24"/>
              </w:rPr>
              <w:t>6</w:t>
            </w:r>
            <w:r>
              <w:rPr>
                <w:rFonts w:ascii="仿宋_GB2312" w:hAnsi="仿宋_GB2312" w:cs="仿宋_GB2312" w:eastAsia="仿宋_GB2312"/>
                <w:sz w:val="24"/>
              </w:rPr>
              <w:t>.施工图纸：详见附件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请中标（成交）人在领取中标（成交）通知书时将纸质版投标（响应）文件正本1册、副本2册打印胶装盖章后提交至采购代理机构处，以便采购人进行留存备案等工作，中标（成交）人应保证投标（响应）文件文件纸质版内容与平台上传电子版内容完全一致，否则将承担一切法律责任。2.本项目标的名称（采购标的）“张良庙北碑廊、授书楼保护修缮工程”，与采购文件中其他描述不一致时，以此处说明为准。3.本项目所属行业为：建筑业。根据《工业和信息化部、国家统计局、国家发展和改革委员会、财政部关于印发中小企业划型标准规定的通知》（工信部联企业(2011)300号）规定的划型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供应商需在项目电子化交易系统中按要求填写《投标函》完成承诺并进行电子签章。按照要求在资格证明材料中提供： 1）具有独立承担民事责任能力的法人、其他社会组织或自然人，并出具合法有效的营业执照或事业单位法人证书等国家规定的相关证明，自然人参与的提供其身份证明； 2）财务状况报告：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 3）税收缴纳证明：提供自2025年7月1日以来已缴纳的至少一个月的纳税凭证或完税证明（任意税种），完税证明上应有代收机构或税务机关的公章；依法免税的供应商应提供相关文件证明； 4）社保缴纳证明：提供自2025年7月1日以来已缴存的至少一个月的社会保障资金缴存单据或社保机构开具的社会保险参保缴费情况证明；依法不需要缴纳社会保障资金的供应商应提供相关文件证明。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本采购包专门面向中小企业采购（监狱企业、残疾人福利性单位视同小型、微型企业）。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具备国家文物局颁发的文物保护工程施工一级资质（业务范围包含"古建筑"），且具备有效的安全生产许可证；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拟派项目负责人（项目经理）要求</w:t>
            </w:r>
          </w:p>
        </w:tc>
        <w:tc>
          <w:tcPr>
            <w:tcW w:type="dxa" w:w="3322"/>
          </w:tcPr>
          <w:p>
            <w:pPr>
              <w:pStyle w:val="null3"/>
            </w:pPr>
            <w:r>
              <w:rPr>
                <w:rFonts w:ascii="仿宋_GB2312" w:hAnsi="仿宋_GB2312" w:cs="仿宋_GB2312" w:eastAsia="仿宋_GB2312"/>
              </w:rPr>
              <w:t>具备文物保护工程责任工程师证（从业范围包含“古建筑”），且无在建项目；</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评审委员会启动异常低价投标（响应）审查程序后，要求投标人在评标委员会规定的期限内提供书面文件予以解释说明，并提交相关证明材料；如果其不能够在评标委员会规定时间内提供相关材料证明其报价的合理性，其最后报价为无效报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商务要求偏离表 已标价工程量清单 技术要求偏离表 中小企业声明函 资格证明材料 近年完成类似项目情况表 响应文件封面 残疾人福利性单位声明函 报价函 标的清单 陕西省政府采购供应商拒绝政府采购领域商业贿赂承诺书 施工方案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磋商有效期是否满足磋商文件规定，授权期限是否满足磋商文件中规定的有效期；</w:t>
            </w:r>
          </w:p>
        </w:tc>
        <w:tc>
          <w:tcPr>
            <w:tcW w:type="dxa" w:w="1661"/>
          </w:tcPr>
          <w:p>
            <w:pPr>
              <w:pStyle w:val="null3"/>
            </w:pPr>
            <w:r>
              <w:rPr>
                <w:rFonts w:ascii="仿宋_GB2312" w:hAnsi="仿宋_GB2312" w:cs="仿宋_GB2312" w:eastAsia="仿宋_GB2312"/>
              </w:rPr>
              <w:t>商务要求偏离表 已标价工程量清单 技术要求偏离表 中小企业声明函 资格证明材料 近年完成类似项目情况表 响应文件封面 残疾人福利性单位声明函 报价函 标的清单 陕西省政府采购供应商拒绝政府采购领域商业贿赂承诺书 施工方案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对于采购文件要求响应的内容磋商响应文件是否做到全部响应；</w:t>
            </w:r>
          </w:p>
        </w:tc>
        <w:tc>
          <w:tcPr>
            <w:tcW w:type="dxa" w:w="1661"/>
          </w:tcPr>
          <w:p>
            <w:pPr>
              <w:pStyle w:val="null3"/>
            </w:pPr>
            <w:r>
              <w:rPr>
                <w:rFonts w:ascii="仿宋_GB2312" w:hAnsi="仿宋_GB2312" w:cs="仿宋_GB2312" w:eastAsia="仿宋_GB2312"/>
              </w:rPr>
              <w:t>商务要求偏离表 已标价工程量清单 技术要求偏离表 中小企业声明函 资格证明材料 近年完成类似项目情况表 响应文件封面 残疾人福利性单位声明函 报价函 标的清单 陕西省政府采购供应商拒绝政府采购领域商业贿赂承诺书 施工方案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工期是否符合要求；</w:t>
            </w:r>
          </w:p>
        </w:tc>
        <w:tc>
          <w:tcPr>
            <w:tcW w:type="dxa" w:w="1661"/>
          </w:tcPr>
          <w:p>
            <w:pPr>
              <w:pStyle w:val="null3"/>
            </w:pPr>
            <w:r>
              <w:rPr>
                <w:rFonts w:ascii="仿宋_GB2312" w:hAnsi="仿宋_GB2312" w:cs="仿宋_GB2312" w:eastAsia="仿宋_GB2312"/>
              </w:rPr>
              <w:t>商务要求偏离表 技术要求偏离表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磋商文件规定的其他要求</w:t>
            </w:r>
          </w:p>
        </w:tc>
        <w:tc>
          <w:tcPr>
            <w:tcW w:type="dxa" w:w="3322"/>
          </w:tcPr>
          <w:p>
            <w:pPr>
              <w:pStyle w:val="null3"/>
            </w:pPr>
            <w:r>
              <w:rPr>
                <w:rFonts w:ascii="仿宋_GB2312" w:hAnsi="仿宋_GB2312" w:cs="仿宋_GB2312" w:eastAsia="仿宋_GB2312"/>
              </w:rPr>
              <w:t>是否满足磋商文件规定的其他要求。</w:t>
            </w:r>
          </w:p>
        </w:tc>
        <w:tc>
          <w:tcPr>
            <w:tcW w:type="dxa" w:w="1661"/>
          </w:tcPr>
          <w:p>
            <w:pPr>
              <w:pStyle w:val="null3"/>
            </w:pPr>
            <w:r>
              <w:rPr>
                <w:rFonts w:ascii="仿宋_GB2312" w:hAnsi="仿宋_GB2312" w:cs="仿宋_GB2312" w:eastAsia="仿宋_GB2312"/>
              </w:rPr>
              <w:t>商务要求偏离表 已标价工程量清单 技术要求偏离表 中小企业声明函 资格证明材料 近年完成类似项目情况表 响应文件封面 残疾人福利性单位声明函 报价函 标的清单 陕西省政府采购供应商拒绝政府采购领域商业贿赂承诺书 施工方案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本项目特性了解透彻，实施方案先进可行，与项目实际结合紧密，对施工具有高度指导性，得8.0分；对项目特性了解较好，实施方案基本可行，得7.0分；对项目特性了解一般，实施方案较差，得6.0分；对项目特性了解不全，实施方案差，得5.0分；未提供或提供内容与本条无关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目标明确，管理体系健全，预防和动态控制措施全面，得8.0分；质量目标基本明确，管理体系较全，保证措施较全面，得7.0分；质量目标较明确，管理体系及保证措施一般，得6.0分；质量目标不明确，管理体系不全，保证措施不利，得5.0分；未提供或提供内容与本条无关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安全文明施工保证体系及保证措施</w:t>
            </w:r>
          </w:p>
        </w:tc>
        <w:tc>
          <w:tcPr>
            <w:tcW w:type="dxa" w:w="2492"/>
          </w:tcPr>
          <w:p>
            <w:pPr>
              <w:pStyle w:val="null3"/>
            </w:pPr>
            <w:r>
              <w:rPr>
                <w:rFonts w:ascii="仿宋_GB2312" w:hAnsi="仿宋_GB2312" w:cs="仿宋_GB2312" w:eastAsia="仿宋_GB2312"/>
              </w:rPr>
              <w:t>安全文明施工保证体系健全，预防和动态控制措施全面，8.0分；安全文明施工保证体系较全，保证措施较全面，得7.0分；安全文明施工保证体系及保证措施一般，得6.0分；安全文明施工保证体系不全，保证措施不利，得5.0分；未提供或提供内容与本条无关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施工进度及工期目标保障措施（提供施工计划网络图或横道图）</w:t>
            </w:r>
          </w:p>
        </w:tc>
        <w:tc>
          <w:tcPr>
            <w:tcW w:type="dxa" w:w="2492"/>
          </w:tcPr>
          <w:p>
            <w:pPr>
              <w:pStyle w:val="null3"/>
            </w:pPr>
            <w:r>
              <w:rPr>
                <w:rFonts w:ascii="仿宋_GB2312" w:hAnsi="仿宋_GB2312" w:cs="仿宋_GB2312" w:eastAsia="仿宋_GB2312"/>
              </w:rPr>
              <w:t>保障措施全面，施工计划网络图或横道图合理，得8.0分；保障措施较全面，施工计划网络图或横道图基本合理，得7.0分；保障措施一般，施工计划网络图或横道图较合理，得6.0分；保障措施不利，施工计划网络图或横道图不合理，得5.0分；未提供或提供内容与本条无关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项目管理机构组成及人员管理制度</w:t>
            </w:r>
          </w:p>
        </w:tc>
        <w:tc>
          <w:tcPr>
            <w:tcW w:type="dxa" w:w="2492"/>
          </w:tcPr>
          <w:p>
            <w:pPr>
              <w:pStyle w:val="null3"/>
            </w:pPr>
            <w:r>
              <w:rPr>
                <w:rFonts w:ascii="仿宋_GB2312" w:hAnsi="仿宋_GB2312" w:cs="仿宋_GB2312" w:eastAsia="仿宋_GB2312"/>
              </w:rPr>
              <w:t>人员管理制度完善，专业配备齐全、数量合理，得7.0分；人员管理制度较完善，专业配备较齐全、数量较合理，得6.0分；人员管理制度一般，专业配备及数量基本满足要求，得5.0分；人员管理制度差，人员专业配备不全、数量不合理，得4.0分；未提供或提供内容与本条无关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拟投入本项目的主要机具设备及检测仪器</w:t>
            </w:r>
          </w:p>
        </w:tc>
        <w:tc>
          <w:tcPr>
            <w:tcW w:type="dxa" w:w="2492"/>
          </w:tcPr>
          <w:p>
            <w:pPr>
              <w:pStyle w:val="null3"/>
            </w:pPr>
            <w:r>
              <w:rPr>
                <w:rFonts w:ascii="仿宋_GB2312" w:hAnsi="仿宋_GB2312" w:cs="仿宋_GB2312" w:eastAsia="仿宋_GB2312"/>
              </w:rPr>
              <w:t>机具设备仪器类型全面、数量合理，得7.0分；机具设备仪器类型较全面、数量较合理，得6.0分；机具设备仪器类型、数量基本满足要求，得5.0分；机具设备仪器类型不全、数量不合理，得4.0分；未提供或提供内容与本条无关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针对本项目突发事件的应急预案</w:t>
            </w:r>
          </w:p>
        </w:tc>
        <w:tc>
          <w:tcPr>
            <w:tcW w:type="dxa" w:w="2492"/>
          </w:tcPr>
          <w:p>
            <w:pPr>
              <w:pStyle w:val="null3"/>
            </w:pPr>
            <w:r>
              <w:rPr>
                <w:rFonts w:ascii="仿宋_GB2312" w:hAnsi="仿宋_GB2312" w:cs="仿宋_GB2312" w:eastAsia="仿宋_GB2312"/>
              </w:rPr>
              <w:t>突发事件应急预案考虑全面，切实可行，操作性强，得7.0分；突发事件应急预案考虑较全面，操作性可行，6.0分；突发事件应急预案考虑及操作性一般，5.0分；突发事件应急预案考虑不全，操作性差，得4.0分；未提供或提供内容与本条无关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施工过程中文物保护体系及保证措施</w:t>
            </w:r>
          </w:p>
        </w:tc>
        <w:tc>
          <w:tcPr>
            <w:tcW w:type="dxa" w:w="2492"/>
          </w:tcPr>
          <w:p>
            <w:pPr>
              <w:pStyle w:val="null3"/>
            </w:pPr>
            <w:r>
              <w:rPr>
                <w:rFonts w:ascii="仿宋_GB2312" w:hAnsi="仿宋_GB2312" w:cs="仿宋_GB2312" w:eastAsia="仿宋_GB2312"/>
              </w:rPr>
              <w:t>文物保护体系健全，预防和动态控制措施全面，得7.0分；文物保护体系较全，保证措施较全面，得6.0分；文物保护体系及保证措施一般，得5.0分；文物保护体系不全，保证措施不利，得4.0分；未提供或提供内容与本条无关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每提供一份2021年01月01日起至本项目响应文件递交截止时间止的古建筑类业绩得2分，最多得10分。以响应文件中所附业绩合同或中标通知书扫描件为准。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及符合性审查合格的供应商，其磋商总报价为有效报价，以二次（最终）报价为最终评审价格。对符合政策性扣减的有效磋商报价进行政策性扣减（如有），并依据扣减后的价格（评审价格）进行价格评审； 2.有效最低报价为磋商基准价得30分； 3.其他供应商的价格分统一按照下列公式计算：磋商报价得分=（磋商基准价/最后磋商报价）×30； 4.磋商报价不完整的，不进入评标基准价的计算，本项得0分。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详见附件：近年完成类似项目情况表</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