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margin" w:tblpY="31"/>
        <w:tblW w:w="72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"/>
        <w:gridCol w:w="946"/>
        <w:gridCol w:w="5854"/>
      </w:tblGrid>
      <w:tr w14:paraId="7EEC9F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</w:tcPr>
          <w:p w14:paraId="239425F3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bookmarkStart w:id="0" w:name="_Hlk228285533"/>
            <w:r>
              <w:rPr>
                <w:rFonts w:hint="eastAsia"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946" w:type="dxa"/>
          </w:tcPr>
          <w:p w14:paraId="0580A77C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名称</w:t>
            </w:r>
          </w:p>
        </w:tc>
        <w:tc>
          <w:tcPr>
            <w:tcW w:w="5854" w:type="dxa"/>
          </w:tcPr>
          <w:p w14:paraId="33A5E91C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规格</w:t>
            </w:r>
            <w:bookmarkStart w:id="1" w:name="_GoBack"/>
            <w:bookmarkEnd w:id="1"/>
          </w:p>
        </w:tc>
      </w:tr>
      <w:tr w14:paraId="24EF4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atLeast"/>
        </w:trPr>
        <w:tc>
          <w:tcPr>
            <w:tcW w:w="499" w:type="dxa"/>
            <w:vMerge w:val="restart"/>
            <w:vAlign w:val="center"/>
          </w:tcPr>
          <w:p w14:paraId="56A93048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14:paraId="33AE212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系统指标</w:t>
            </w:r>
          </w:p>
        </w:tc>
        <w:tc>
          <w:tcPr>
            <w:tcW w:w="5854" w:type="dxa"/>
          </w:tcPr>
          <w:p w14:paraId="3A3BD88C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宋体" w:hAnsi="宋体" w:eastAsia="宋体" w:cs="仿宋_GB2312"/>
                <w:sz w:val="24"/>
              </w:rPr>
              <w:t>★</w:t>
            </w:r>
            <w:r>
              <w:rPr>
                <w:rFonts w:hint="eastAsia" w:ascii="Segoe UI Symbol" w:hAnsi="Segoe UI Symbol" w:eastAsia="宋体" w:cs="Segoe UI Symbol"/>
                <w:sz w:val="24"/>
              </w:rPr>
              <w:t xml:space="preserve">1. </w:t>
            </w:r>
            <w:r>
              <w:rPr>
                <w:rFonts w:ascii="Times New Roman" w:hAnsi="Times New Roman" w:eastAsia="宋体" w:cs="Times New Roman"/>
                <w:sz w:val="24"/>
              </w:rPr>
              <w:t xml:space="preserve">具备2D2C、2D3C、3D3C测量模式，可测量并分析流场的速度矢量、流线、涡量、涡旋强度及速度梯度等参数。 </w:t>
            </w:r>
          </w:p>
        </w:tc>
      </w:tr>
      <w:tr w14:paraId="5DD14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continue"/>
          </w:tcPr>
          <w:p w14:paraId="0BD6FB45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51724BD3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28D3BB9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</w:rPr>
              <w:t>■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2.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具备在单相流能对颗粒进行追踪的功能；其中在3D3C流场测量中，粒子追踪数量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≥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3000个。</w:t>
            </w:r>
          </w:p>
        </w:tc>
      </w:tr>
      <w:tr w14:paraId="67B9B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continue"/>
          </w:tcPr>
          <w:p w14:paraId="40AA64CA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63E97C36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0F4F13D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</w:rPr>
              <w:t>■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3.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具备在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多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相流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中，对离散相准确识别分割，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能对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离散相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颗粒进行追踪的功能。</w:t>
            </w:r>
          </w:p>
        </w:tc>
      </w:tr>
      <w:tr w14:paraId="1594A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5B819C0B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164C4384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06C6D98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4.具备人工智能颗粒分析功能，实现单像素超分辨率解析能力，在不使用放大倍率镜头情况下，图像分辨率、单个速度矢量空间分辨率和矢量网格间距均可≤20μm；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具备实验模型与流场数据的交互显示功能。</w:t>
            </w:r>
          </w:p>
        </w:tc>
      </w:tr>
      <w:tr w14:paraId="78AC6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continue"/>
          </w:tcPr>
          <w:p w14:paraId="037E46DC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1E710B04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71C0488E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宋体" w:hAnsi="宋体" w:eastAsia="宋体" w:cs="仿宋_GB2312"/>
                <w:sz w:val="24"/>
              </w:rPr>
              <w:t>★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5.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常规流场最大测量视场≥600 mm*500mm，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三维体积流场最大测量范围≥350 mm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*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300 mm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*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70 mm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。</w:t>
            </w:r>
            <w:r>
              <w:rPr>
                <w:rFonts w:ascii="Times New Roman" w:hAnsi="Times New Roman" w:eastAsia="宋体" w:cs="Times New Roman"/>
                <w:sz w:val="24"/>
              </w:rPr>
              <w:t xml:space="preserve"> </w:t>
            </w:r>
          </w:p>
        </w:tc>
      </w:tr>
      <w:tr w14:paraId="2581F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499" w:type="dxa"/>
          </w:tcPr>
          <w:p w14:paraId="081043B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946" w:type="dxa"/>
          </w:tcPr>
          <w:p w14:paraId="73036E11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高分辨数字相机图像采集模块</w:t>
            </w:r>
          </w:p>
        </w:tc>
        <w:tc>
          <w:tcPr>
            <w:tcW w:w="5854" w:type="dxa"/>
          </w:tcPr>
          <w:p w14:paraId="48645EA5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宋体" w:hAnsi="宋体" w:eastAsia="宋体" w:cs="仿宋_GB2312"/>
                <w:sz w:val="24"/>
              </w:rPr>
              <w:t>★</w:t>
            </w:r>
            <w:r>
              <w:rPr>
                <w:rFonts w:hint="eastAsia" w:ascii="Segoe UI Symbol" w:hAnsi="Segoe UI Symbol" w:eastAsia="宋体" w:cs="Segoe UI Symbol"/>
                <w:sz w:val="24"/>
              </w:rPr>
              <w:t>6.</w:t>
            </w:r>
            <w:r>
              <w:rPr>
                <w:rFonts w:ascii="Times New Roman" w:hAnsi="Times New Roman" w:eastAsia="宋体" w:cs="Times New Roman"/>
                <w:sz w:val="24"/>
              </w:rPr>
              <w:t>脉冲激光PIV系统（用于瞬态/3D3C测量）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：</w:t>
            </w:r>
          </w:p>
          <w:p w14:paraId="0270C99D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6.1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低频跨帧相机：数量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≥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4个，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在分辨率≥800万像素时，最小跨帧时间间隔≤500ns，采集速度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≥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90fps。相机必须通过系统软件在同一平台下控制、操作。</w:t>
            </w:r>
          </w:p>
          <w:p w14:paraId="65A27C28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6.2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相机附件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：数量≥4套，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50mm/F1.4专业光学镜头、100mm/F2.8微距镜头、专用滤光镜（中心波长532±15nm）、高速图像采集卡。</w:t>
            </w:r>
          </w:p>
        </w:tc>
      </w:tr>
      <w:tr w14:paraId="125433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restart"/>
          </w:tcPr>
          <w:p w14:paraId="0739331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946" w:type="dxa"/>
            <w:vMerge w:val="restart"/>
          </w:tcPr>
          <w:p w14:paraId="386A8EAA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高能双脉冲体光源</w:t>
            </w:r>
          </w:p>
        </w:tc>
        <w:tc>
          <w:tcPr>
            <w:tcW w:w="5854" w:type="dxa"/>
          </w:tcPr>
          <w:p w14:paraId="6AEFF343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▲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7.</w:t>
            </w:r>
            <w:r>
              <w:rPr>
                <w:rFonts w:ascii="Times New Roman" w:hAnsi="Times New Roman" w:eastAsia="宋体" w:cs="Times New Roman"/>
                <w:sz w:val="24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脉冲激光器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: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 xml:space="preserve">脉冲能量≥2 * 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50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0mj @532nm @≥10hz</w:t>
            </w:r>
          </w:p>
        </w:tc>
      </w:tr>
      <w:tr w14:paraId="2AD59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continue"/>
          </w:tcPr>
          <w:p w14:paraId="434B46F9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39EE9D9E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1221841A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8.</w:t>
            </w:r>
            <w:r>
              <w:rPr>
                <w:rFonts w:ascii="Times New Roman" w:hAnsi="Times New Roman" w:eastAsia="宋体" w:cs="Times New Roman"/>
                <w:sz w:val="24"/>
              </w:rPr>
              <w:t xml:space="preserve"> 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频率1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1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0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hz可调；能量不稳定度≤3%；包含七关节导光臂，长度≥1.7米；</w:t>
            </w:r>
          </w:p>
        </w:tc>
      </w:tr>
      <w:tr w14:paraId="021AF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99" w:type="dxa"/>
            <w:vMerge w:val="continue"/>
          </w:tcPr>
          <w:p w14:paraId="5F9FD37B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1180F3F2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1B1B51B9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9.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片光源：最薄处≤1mm；焦距0.5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2.5m可调；张角15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25度可调；体光源：张角15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25度可调，厚度10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70mm可调。</w:t>
            </w:r>
          </w:p>
        </w:tc>
      </w:tr>
      <w:tr w14:paraId="3DE00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99" w:type="dxa"/>
            <w:vMerge w:val="restart"/>
          </w:tcPr>
          <w:p w14:paraId="5EDB152E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4 </w:t>
            </w:r>
          </w:p>
        </w:tc>
        <w:tc>
          <w:tcPr>
            <w:tcW w:w="946" w:type="dxa"/>
            <w:vMerge w:val="restart"/>
          </w:tcPr>
          <w:p w14:paraId="15C867DF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高频采集模块</w:t>
            </w:r>
          </w:p>
        </w:tc>
        <w:tc>
          <w:tcPr>
            <w:tcW w:w="5854" w:type="dxa"/>
          </w:tcPr>
          <w:p w14:paraId="44459E8B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▲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10.</w:t>
            </w:r>
            <w:r>
              <w:rPr>
                <w:rFonts w:hint="eastAsia" w:ascii="Times New Roman" w:hAnsi="Times New Roman" w:eastAsia="宋体" w:cs="Times New Roma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高频跨帧相机A：数量≥1台，分辨率≥400万像素，</w:t>
            </w:r>
            <w:r>
              <w:rPr>
                <w:rFonts w:ascii="Times New Roman" w:hAnsi="Times New Roman" w:eastAsia="宋体" w:cs="Times New Roman"/>
                <w:sz w:val="24"/>
              </w:rPr>
              <w:t>满幅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采集速率≥2000 fps，内存≥90G，像元≥7μm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；</w:t>
            </w:r>
          </w:p>
        </w:tc>
      </w:tr>
      <w:tr w14:paraId="1142C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191846E6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53649489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5854" w:type="dxa"/>
          </w:tcPr>
          <w:p w14:paraId="54A32156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▲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11. 高频跨帧相机B：数量≥2台，分辨率≥100万像素，</w:t>
            </w:r>
            <w:r>
              <w:rPr>
                <w:rFonts w:ascii="Times New Roman" w:hAnsi="Times New Roman" w:eastAsia="宋体" w:cs="Times New Roman"/>
                <w:sz w:val="24"/>
              </w:rPr>
              <w:t>满幅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采集速率≥10000 fps，内存≥90G，像元≥14μm，</w:t>
            </w:r>
            <w:r>
              <w:rPr>
                <w:rFonts w:ascii="Times New Roman" w:hAnsi="Times New Roman" w:eastAsia="宋体" w:cs="Times New Roman"/>
                <w:sz w:val="24"/>
                <w:szCs w:val="32"/>
              </w:rPr>
              <w:t>跨帧</w:t>
            </w:r>
            <w:r>
              <w:rPr>
                <w:rFonts w:hint="eastAsia" w:ascii="Times New Roman" w:hAnsi="Times New Roman" w:eastAsia="宋体" w:cs="Times New Roman"/>
                <w:sz w:val="24"/>
                <w:szCs w:val="32"/>
              </w:rPr>
              <w:t>时间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32"/>
              </w:rPr>
              <w:t>≤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  <w:szCs w:val="32"/>
              </w:rPr>
              <w:t>400ns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。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最小快门≤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0.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3μs；提供配套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的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PIV采集控制程序；</w:t>
            </w:r>
          </w:p>
        </w:tc>
      </w:tr>
      <w:tr w14:paraId="051A0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99" w:type="dxa"/>
          </w:tcPr>
          <w:p w14:paraId="7A0AF0DA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5</w:t>
            </w:r>
          </w:p>
        </w:tc>
        <w:tc>
          <w:tcPr>
            <w:tcW w:w="946" w:type="dxa"/>
          </w:tcPr>
          <w:p w14:paraId="10C6D70E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连续式激光片光源</w:t>
            </w:r>
          </w:p>
        </w:tc>
        <w:tc>
          <w:tcPr>
            <w:tcW w:w="5854" w:type="dxa"/>
          </w:tcPr>
          <w:p w14:paraId="49D70224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★12.连续式激光器，最大功率≥30瓦；波长532±1nm；片光最薄处≤1mm，焦距0.3～3米可调；体光源：厚度5~50mm可调，张角15~25°可调。</w:t>
            </w:r>
          </w:p>
        </w:tc>
      </w:tr>
      <w:tr w14:paraId="0B320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499" w:type="dxa"/>
            <w:vMerge w:val="restart"/>
          </w:tcPr>
          <w:p w14:paraId="518572B9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6</w:t>
            </w:r>
          </w:p>
        </w:tc>
        <w:tc>
          <w:tcPr>
            <w:tcW w:w="946" w:type="dxa"/>
            <w:vMerge w:val="restart"/>
          </w:tcPr>
          <w:p w14:paraId="078EFBC7">
            <w:pPr>
              <w:spacing w:line="360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同步控制器</w:t>
            </w:r>
          </w:p>
        </w:tc>
        <w:tc>
          <w:tcPr>
            <w:tcW w:w="5854" w:type="dxa"/>
          </w:tcPr>
          <w:p w14:paraId="135DA93C">
            <w:pPr>
              <w:pStyle w:val="5"/>
              <w:widowControl w:val="0"/>
              <w:spacing w:line="360" w:lineRule="auto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▲</w:t>
            </w:r>
            <w:r>
              <w:rPr>
                <w:rFonts w:eastAsia="宋体" w:cs="Times New Roman" w:asciiTheme="minorEastAsia" w:hAnsiTheme="minorEastAsia"/>
                <w:bCs/>
                <w:kern w:val="2"/>
                <w:sz w:val="24"/>
                <w:szCs w:val="24"/>
                <w:lang w:eastAsia="zh-CN"/>
                <w14:ligatures w14:val="standardContextual"/>
              </w:rPr>
              <w:t>13.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同步控制器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: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 xml:space="preserve"> 时间精度≤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1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ns；输出通道≥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16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个；至少2个输入通道，可外触发锁相工作。</w:t>
            </w:r>
          </w:p>
        </w:tc>
      </w:tr>
      <w:tr w14:paraId="713EB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1A7C3964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2AB26C39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19EE97B5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 xml:space="preserve"> 14.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同步控制器集成在PIV软件内，通过PIV软件进行控制；应支持同时控制激光器及至少6台相机的同步拍摄。提供配套技术服务，可协助实现其他物理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量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的同步测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量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功能。</w:t>
            </w:r>
          </w:p>
        </w:tc>
      </w:tr>
      <w:tr w14:paraId="5778F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499" w:type="dxa"/>
            <w:vMerge w:val="restart"/>
          </w:tcPr>
          <w:p w14:paraId="0EB727B3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7 </w:t>
            </w:r>
          </w:p>
        </w:tc>
        <w:tc>
          <w:tcPr>
            <w:tcW w:w="946" w:type="dxa"/>
            <w:vMerge w:val="restart"/>
          </w:tcPr>
          <w:p w14:paraId="237AC67C">
            <w:pPr>
              <w:spacing w:line="360" w:lineRule="auto"/>
              <w:jc w:val="center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数据采集分析后处理及显示模块</w:t>
            </w:r>
          </w:p>
        </w:tc>
        <w:tc>
          <w:tcPr>
            <w:tcW w:w="5854" w:type="dxa"/>
          </w:tcPr>
          <w:p w14:paraId="381D4F53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15.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PIV基础二维模块：支持4重迭代；具备窗口变形功能；具备自动模型边界模板；具备多目录自动处理功能，一次性可处理≥16个目录数据文件；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大区域拼合模块：优化区域流场测试结果拼合功能，在拼合结果中绘制出完整而光滑的流线等结果；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提供丰富的图像预处理功能：自动遮罩、滤波、背景剔除、图像增强等。实现前后背景分离、自动遮罩提取，支持整体特征不明显、小尺度结构复杂的流场分析。</w:t>
            </w:r>
          </w:p>
        </w:tc>
      </w:tr>
      <w:tr w14:paraId="75BE59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499" w:type="dxa"/>
            <w:vMerge w:val="continue"/>
          </w:tcPr>
          <w:p w14:paraId="570A33E5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3D75AF55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66D4333B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16.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全流程评价：标定结果评价、重构结果评价以及计算结果评价。支持实验报告一键生成：支持实验基础信息自动记录、实验报告一键导出，导出实验报告内容包括：实验背景、实验设备、实验过程以及实验结果，报告支持可编辑版本和不可编辑版本。</w:t>
            </w:r>
          </w:p>
        </w:tc>
      </w:tr>
      <w:tr w14:paraId="5C34E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226CAE75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3E6D95F2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0D1E3DC8">
            <w:pPr>
              <w:pStyle w:val="5"/>
              <w:widowControl w:val="0"/>
              <w:spacing w:line="360" w:lineRule="auto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■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17.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</w:rPr>
              <w:t>具备GPU加速模块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:</w:t>
            </w:r>
            <w:r>
              <w:rPr>
                <w:rFonts w:eastAsia="宋体" w:cs="Times New Roman" w:asciiTheme="minorEastAsia" w:hAnsiTheme="minorEastAsia"/>
                <w:bCs/>
                <w:kern w:val="2"/>
                <w:sz w:val="24"/>
                <w:szCs w:val="24"/>
                <w:lang w:eastAsia="zh-CN"/>
                <w14:ligatures w14:val="standardContextual"/>
              </w:rPr>
              <w:t xml:space="preserve"> 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可以导入外部40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  <w:t>2900万像素的图像进行分析；要求在图像分辨率≥2900万像素、查询区/判读区32*32像素、步长16*16像素的计算参数下，计算一个全场速度场结果的时间≤1.3秒</w:t>
            </w:r>
          </w:p>
        </w:tc>
      </w:tr>
      <w:tr w14:paraId="33714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499" w:type="dxa"/>
            <w:vMerge w:val="continue"/>
          </w:tcPr>
          <w:p w14:paraId="7453EED4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52FE2ABC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7BBA418A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18.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具备平面三维(2D3C)分析模块：具备三维速度分析功能；具备体三维/3D3C分析模块：支持≥6台相机多视角三维重构、三维互相关分析。软件包含三维重构、三维标定、三维速度场分析功能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。支持标定结果评价、重构结果评价以及计算结果评价。</w:t>
            </w:r>
          </w:p>
        </w:tc>
      </w:tr>
      <w:tr w14:paraId="440612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499" w:type="dxa"/>
            <w:vMerge w:val="continue"/>
          </w:tcPr>
          <w:p w14:paraId="1B41A121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3FCF2A2F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09921396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19.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本征正交分解/POD模块：可获得流场的POD能谱、POD模态空间函数和时间系数；动力学模态分解/DMD模块：可获得流场的DMD能谱、DMD特征频率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和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空间增长率。具备最优模态分解（Optimal Mode Decomposition，OMD）分析功能。</w:t>
            </w:r>
          </w:p>
        </w:tc>
      </w:tr>
      <w:tr w14:paraId="743A65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37EF24CF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6C63F9DB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52752C89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20.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包含颗粒粒径分析模块：分析显示图像中颗粒的等效圆直径、面积、速度、浓度参数；具备多相流分析模块：具备连续相流体与离散相颗粒在时间上同步测量的功能；</w:t>
            </w:r>
          </w:p>
        </w:tc>
      </w:tr>
      <w:tr w14:paraId="7A43E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99" w:type="dxa"/>
            <w:vMerge w:val="continue"/>
          </w:tcPr>
          <w:p w14:paraId="7F622D1D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7469B854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1CCF5492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</w:rPr>
              <w:t>■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21.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人工智能粒子图像测速分析功能</w:t>
            </w:r>
          </w:p>
          <w:p w14:paraId="16D16607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eastAsia="宋体" w:cs="Times New Roman" w:asciiTheme="minorEastAsia" w:hAnsiTheme="minorEastAsia"/>
                <w:bCs/>
                <w:sz w:val="24"/>
              </w:rPr>
              <w:t>通过提前机器深度学习和卷积神经网络，训练程序从严格满足流体力学控制方程的大数据集中学习物理力学，从而预测小尺度的未确定的流动，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实现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超分辨率单像素算法功能，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根据提供的标准粒子图，现场演示单像素结果及效果；且根据提供的标准粒子图进行人工智能PIV分析，预测结果（空间分辨率可参考标准结果）和标准结果进行对比，绝对误差大于0.5pixel占比≤6%，且所有绝对偏差的标准差≤0.5pixel。</w:t>
            </w:r>
          </w:p>
        </w:tc>
      </w:tr>
      <w:tr w14:paraId="5875E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atLeast"/>
        </w:trPr>
        <w:tc>
          <w:tcPr>
            <w:tcW w:w="499" w:type="dxa"/>
            <w:vMerge w:val="continue"/>
          </w:tcPr>
          <w:p w14:paraId="1A6537E6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381E37B7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</w:rPr>
            </w:pPr>
          </w:p>
        </w:tc>
        <w:tc>
          <w:tcPr>
            <w:tcW w:w="5854" w:type="dxa"/>
          </w:tcPr>
          <w:p w14:paraId="7A4C340E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22.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增强现实/AR辅助实验模块：数量≥2套；无需计算机屏幕，可实时无线AR显示实验中拍摄的粒子图像，辅助手动镜头对焦；可实时无线显示PIV实验结果；头显模块分辨率不低于1920*1080；实验力学虚拟现实/VR仿真模块：通过佩戴VR头盔，对流场测量得到的流场结果和试验模型进行虚拟现实交互显示；头戴式设备分辨率不低于1080 x 1200像素；通过手柄操作可以实现速度矢量放大缩小、密度调节、流场和模型场景视角调整和抓取。</w:t>
            </w:r>
          </w:p>
        </w:tc>
      </w:tr>
      <w:tr w14:paraId="4240B3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atLeast"/>
        </w:trPr>
        <w:tc>
          <w:tcPr>
            <w:tcW w:w="499" w:type="dxa"/>
            <w:vMerge w:val="restart"/>
          </w:tcPr>
          <w:p w14:paraId="3F6C29AF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8</w:t>
            </w:r>
          </w:p>
        </w:tc>
        <w:tc>
          <w:tcPr>
            <w:tcW w:w="946" w:type="dxa"/>
            <w:vMerge w:val="restart"/>
          </w:tcPr>
          <w:p w14:paraId="3387FE2F">
            <w:pPr>
              <w:spacing w:line="360" w:lineRule="auto"/>
              <w:jc w:val="center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云计算平台</w:t>
            </w:r>
          </w:p>
        </w:tc>
        <w:tc>
          <w:tcPr>
            <w:tcW w:w="5854" w:type="dxa"/>
          </w:tcPr>
          <w:p w14:paraId="032F223A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23.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通过结合云计算技术，实现跨平台的PIV计算技术。同时具备公有云接口和本地私有云部署。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公有云计算资源；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支持本地私有云布置：通过对本地高性能工作站(交付时需要部署好)进行私有云布置，机器节点≥2，包含3D3C PIV私有云网络搭建配置、数据库部署与配置，以及计算部署如标定、前处理、重构、互相关处理的私有云部署；私有云部署提供管理界面，可以看到节点数目、计算资源和认为执行情况等；私有云重构计算时，不同节点可以执行同一重构任务的不同部分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。</w:t>
            </w:r>
          </w:p>
        </w:tc>
      </w:tr>
      <w:tr w14:paraId="78B13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</w:trPr>
        <w:tc>
          <w:tcPr>
            <w:tcW w:w="499" w:type="dxa"/>
            <w:vMerge w:val="continue"/>
          </w:tcPr>
          <w:p w14:paraId="473A0549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17E9A1A8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854" w:type="dxa"/>
          </w:tcPr>
          <w:p w14:paraId="78EB5F3A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24.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支持导入外部数据，最高支持分辨率≥2900万像素，最大可支持三维重构体体素≥30G；重构体大小≥10GB、重构体≥350mm×300mm×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5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0mm条件下，云计算重构速率≤50s/GB，云计算向量速率≤1ms/三维矢量；提供软件截图证明本条参数。</w:t>
            </w:r>
          </w:p>
        </w:tc>
      </w:tr>
      <w:tr w14:paraId="7C1D3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4" w:hRule="atLeast"/>
        </w:trPr>
        <w:tc>
          <w:tcPr>
            <w:tcW w:w="499" w:type="dxa"/>
            <w:vMerge w:val="restart"/>
          </w:tcPr>
          <w:p w14:paraId="40FB7581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9</w:t>
            </w:r>
          </w:p>
        </w:tc>
        <w:tc>
          <w:tcPr>
            <w:tcW w:w="946" w:type="dxa"/>
            <w:vMerge w:val="restart"/>
          </w:tcPr>
          <w:p w14:paraId="09D7B3C1">
            <w:pPr>
              <w:spacing w:line="360" w:lineRule="auto"/>
              <w:jc w:val="center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附件</w:t>
            </w:r>
          </w:p>
        </w:tc>
        <w:tc>
          <w:tcPr>
            <w:tcW w:w="5854" w:type="dxa"/>
          </w:tcPr>
          <w:p w14:paraId="33179714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25.包含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三维体视光学机构：数量≥6个；0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～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10度可调，6个高分辨及高频相机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各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配备一个；</w:t>
            </w:r>
          </w:p>
          <w:p w14:paraId="2B0BBB4D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包含3D3C标定专用电动位移及控制机构：通过3D3CPIV软件实现至少10个截面全自动移动和相机自动图像采集，整个过程无手动操作防止误操作；行程≥100mm；最小移动距离2μm；软件控制功能包括：通讯端口自动检测，行程、步长、次数、归零设置；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定制标定板，不同尺寸各一个；</w:t>
            </w:r>
          </w:p>
        </w:tc>
      </w:tr>
      <w:tr w14:paraId="296F0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</w:trPr>
        <w:tc>
          <w:tcPr>
            <w:tcW w:w="499" w:type="dxa"/>
            <w:vMerge w:val="continue"/>
          </w:tcPr>
          <w:p w14:paraId="07899A95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44FBEBAB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854" w:type="dxa"/>
          </w:tcPr>
          <w:p w14:paraId="0F8CD90A">
            <w:pPr>
              <w:tabs>
                <w:tab w:val="left" w:pos="3198"/>
              </w:tabs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▲26.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  <w:szCs w:val="32"/>
              </w:rPr>
              <w:t>数据采集工作站：处理器：核心数≥24，总线程数≥24，最大睿频频率≥5.7 GHz；内存：DDR5 256GB;固态硬盘≥2TB；机械硬盘≥16TB；GPU：CUDA核心≥21000个，显存≥32GB，睿频频率≥2.4 GHz</w:t>
            </w:r>
          </w:p>
        </w:tc>
      </w:tr>
      <w:tr w14:paraId="67AFB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7" w:hRule="atLeast"/>
        </w:trPr>
        <w:tc>
          <w:tcPr>
            <w:tcW w:w="499" w:type="dxa"/>
            <w:vMerge w:val="continue"/>
          </w:tcPr>
          <w:p w14:paraId="2368EDEA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0B7BF89C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854" w:type="dxa"/>
          </w:tcPr>
          <w:p w14:paraId="2DFD40E7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 xml:space="preserve">▲27. 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>数据分析工作站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:</w:t>
            </w:r>
            <w:r>
              <w:rPr>
                <w:rFonts w:eastAsia="宋体" w:cs="Times New Roman" w:asciiTheme="minorEastAsia" w:hAnsiTheme="minorEastAsia"/>
                <w:bCs/>
                <w:sz w:val="24"/>
              </w:rPr>
              <w:t xml:space="preserve"> </w:t>
            </w: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处理器：核心数不少于64核；内存：≥512GB；存储容量不低于2TB固态和16TB机械硬盘; GPU: 显存≥72GB。</w:t>
            </w:r>
          </w:p>
        </w:tc>
      </w:tr>
      <w:tr w14:paraId="473E3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1" w:hRule="atLeast"/>
        </w:trPr>
        <w:tc>
          <w:tcPr>
            <w:tcW w:w="499" w:type="dxa"/>
            <w:vMerge w:val="continue"/>
          </w:tcPr>
          <w:p w14:paraId="5BBED86C">
            <w:pPr>
              <w:spacing w:line="360" w:lineRule="auto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946" w:type="dxa"/>
            <w:vMerge w:val="continue"/>
          </w:tcPr>
          <w:p w14:paraId="43819082">
            <w:pPr>
              <w:pStyle w:val="5"/>
              <w:widowControl w:val="0"/>
              <w:spacing w:line="360" w:lineRule="auto"/>
              <w:ind w:left="2520"/>
              <w:jc w:val="both"/>
              <w:rPr>
                <w:rFonts w:hint="default" w:eastAsia="宋体" w:cs="Times New Roman" w:asciiTheme="minorEastAsia" w:hAnsiTheme="minorEastAsia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854" w:type="dxa"/>
          </w:tcPr>
          <w:p w14:paraId="371E7612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28.双层可移动工作台：负载≥150kg，附带自行轮及锁定装置，用于放置本系统激光器、数据采集及数据分析工作站；</w:t>
            </w:r>
          </w:p>
          <w:p w14:paraId="34483FE7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29.其他配套附件</w:t>
            </w:r>
          </w:p>
          <w:p w14:paraId="3F3F49A7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29.1精密齿轮三轴调节机构：数量≥6套，单套负载≥5kg，前后俯仰：+90 / -30；左右俯仰：+30 / -90；</w:t>
            </w:r>
          </w:p>
          <w:p w14:paraId="79F96A26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29.2锁相模块：同步触发高精度锁相编码器1套，任意角度组合锁相piv测量触发控制。</w:t>
            </w:r>
          </w:p>
          <w:p w14:paraId="706A35E1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29.3单触点霍尔电磁触发套件和高精度光电式触发套件；</w:t>
            </w:r>
          </w:p>
          <w:p w14:paraId="5CC9D19B">
            <w:pPr>
              <w:spacing w:line="360" w:lineRule="auto"/>
              <w:rPr>
                <w:rFonts w:eastAsia="宋体" w:cs="Times New Roman" w:asciiTheme="minorEastAsia" w:hAnsiTheme="minorEastAsia"/>
                <w:bCs/>
                <w:sz w:val="24"/>
              </w:rPr>
            </w:pPr>
            <w:r>
              <w:rPr>
                <w:rFonts w:hint="eastAsia" w:eastAsia="宋体" w:cs="Times New Roman" w:asciiTheme="minorEastAsia" w:hAnsiTheme="minorEastAsia"/>
                <w:bCs/>
                <w:sz w:val="24"/>
              </w:rPr>
              <w:t>29.4配套示踪粒子：荧光粒子(粒径5~7微米，数量不少于100ml)、空气玻璃微珠(粒径5~20微米，数量不少于500g），三脚架（6支）；300WLED白光光源（2套），300WLED蓝光光源（2套）。</w:t>
            </w:r>
          </w:p>
        </w:tc>
      </w:tr>
      <w:bookmarkEnd w:id="0"/>
    </w:tbl>
    <w:p w14:paraId="31038AE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7232FB"/>
    <w:rsid w:val="2C72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2026-09-24T10:04:00Z</dcterms:created>
  <dc:creator>Kris玘</dc:creator>
  <cp:lastModifiedBy>Kris玘</cp:lastModifiedBy>
  <dcterms:modified xsi:type="dcterms:W3CDTF">2026-09-24T10:04:39Z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C1B2C3142C8840D88836A4536A73E2FD_11</vt:lpwstr>
  </property>
  <property fmtid="{D5CDD505-2E9C-101B-9397-08002B2CF9AE}" pid="4" name="KSOTemplateDocerSaveRecord">
    <vt:lpwstr>eyJoZGlkIjoiZDA5N2NiM2Q3MGQ2M2I3YTQwMGJkM2JlYWZmZjQyZDIiLCJ1c2VySWQiOiIyNjU2MTYxOTgifQ==</vt:lpwstr>
  </property>
</Properties>
</file>