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版本号：RTDZB(2026-032)20260731001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S27洋镇线镇巴至陕川界高速公路项目杆管线迁改和企业厂矿拆迁全过程咨询技术服务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RTDZB(2026-032)</w:t>
      </w:r>
      <w:r>
        <w:br/>
      </w:r>
      <w:r>
        <w:br/>
      </w:r>
      <w:r>
        <w:br/>
      </w:r>
    </w:p>
    <w:p>
      <w:pPr>
        <w:pStyle w:val="null3"/>
        <w:jc w:val="center"/>
        <w:outlineLvl w:val="2"/>
      </w:pPr>
      <w:r>
        <w:rPr>
          <w:rFonts w:ascii="仿宋_GB2312" w:hAnsi="仿宋_GB2312" w:cs="仿宋_GB2312" w:eastAsia="仿宋_GB2312"/>
          <w:sz w:val="28"/>
          <w:b/>
        </w:rPr>
        <w:t>汉中市交通运输局</w:t>
      </w:r>
    </w:p>
    <w:p>
      <w:pPr>
        <w:pStyle w:val="null3"/>
        <w:jc w:val="center"/>
        <w:outlineLvl w:val="2"/>
      </w:pPr>
      <w:r>
        <w:rPr>
          <w:rFonts w:ascii="仿宋_GB2312" w:hAnsi="仿宋_GB2312" w:cs="仿宋_GB2312" w:eastAsia="仿宋_GB2312"/>
          <w:sz w:val="28"/>
          <w:b/>
        </w:rPr>
        <w:t>陕西瑞通达工程造价咨询有限公司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陕西瑞通达工程造价咨询有限公司</w:t>
      </w:r>
      <w:r>
        <w:rPr>
          <w:rFonts w:ascii="仿宋_GB2312" w:hAnsi="仿宋_GB2312" w:cs="仿宋_GB2312" w:eastAsia="仿宋_GB2312"/>
        </w:rPr>
        <w:t>（以下简称“代理机构”）受</w:t>
      </w:r>
      <w:r>
        <w:rPr>
          <w:rFonts w:ascii="仿宋_GB2312" w:hAnsi="仿宋_GB2312" w:cs="仿宋_GB2312" w:eastAsia="仿宋_GB2312"/>
        </w:rPr>
        <w:t>汉中市交通运输局</w:t>
      </w:r>
      <w:r>
        <w:rPr>
          <w:rFonts w:ascii="仿宋_GB2312" w:hAnsi="仿宋_GB2312" w:cs="仿宋_GB2312" w:eastAsia="仿宋_GB2312"/>
        </w:rPr>
        <w:t>委托，拟对</w:t>
      </w:r>
      <w:r>
        <w:rPr>
          <w:rFonts w:ascii="仿宋_GB2312" w:hAnsi="仿宋_GB2312" w:cs="仿宋_GB2312" w:eastAsia="仿宋_GB2312"/>
        </w:rPr>
        <w:t>S27洋镇线镇巴至陕川界高速公路项目杆管线迁改和企业厂矿拆迁全过程咨询技术服务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RTDZB(2026-032)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S27洋镇线镇巴至陕川界高速公路项目杆管线迁改和企业厂矿拆迁全过程咨询技术服务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S27洋镇线镇巴至陕川界项目路线起于汉中市镇巴县城北侧泾洋镇小渡坝村，顺接西乡至镇巴高速公路，向西南设线，经长岭镇、黎坝镇，止于红星村，顺接四川省在建的镇巴（川陕界）至广安高速公路。路线全长32.632公里。项目总投资63.37亿元。全线采用双向四车道高速公路技术标准，起点至陈家坡隧道南口段3.54公里设计速度80公里/小时，路基宽度25.5米；陈家坡隧道南口至终点段设计速度100公里/小时，路基宽度26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采购包1（S27洋镇线镇巴至陕川界高速公路项目杆管线迁改和企业厂矿拆迁全过程咨询技术服务）：属于专门面向中小企业采购。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有独立承担民事责任的能力，是具备独立法人资格或其他组织或自然人：供应商须具有独立承担民事责任的能力，是具备独立法人资格或其他组织或自然人。企业法人应提供合法有效的标识有统一社会信用代码的营业执照；事业法人应提供事业单位法人证书；其他组织应提供合法登记证明文件；供应商为自然人的提供身份证。</w:t>
      </w:r>
    </w:p>
    <w:p>
      <w:pPr>
        <w:pStyle w:val="null3"/>
      </w:pPr>
      <w:r>
        <w:rPr>
          <w:rFonts w:ascii="仿宋_GB2312" w:hAnsi="仿宋_GB2312" w:cs="仿宋_GB2312" w:eastAsia="仿宋_GB2312"/>
        </w:rPr>
        <w:t>2、供应商应授权合法的人员参加磋商：供应商应授权合法的人员参加磋商：法定代表人直接参与磋商时需提供法定代表人身份证明；被授权人参与时需提供被授权人身份证复印件及法定代表人授权委托书加盖公章</w:t>
      </w:r>
    </w:p>
    <w:p>
      <w:pPr>
        <w:pStyle w:val="null3"/>
      </w:pPr>
      <w:r>
        <w:rPr>
          <w:rFonts w:ascii="仿宋_GB2312" w:hAnsi="仿宋_GB2312" w:cs="仿宋_GB2312" w:eastAsia="仿宋_GB2312"/>
        </w:rPr>
        <w:t>3、供应商须在全国投资项目在线审批监管平台（http://www.tzxm.gov.cn/）备案可查询，且备案专业须包含公路专业，供应商名称与该名录中的单位名称完全一致：供应商须在全国投资项目在线审批监管平台（http://www.tzxm.gov.cn/）备案可查询，且备案专业须包含公路专业，供应商名称与该名录中的单位名称完全一致:供应商须提供网页查询截图加盖公章</w:t>
      </w:r>
    </w:p>
    <w:p>
      <w:pPr>
        <w:pStyle w:val="null3"/>
      </w:pPr>
      <w:r>
        <w:rPr>
          <w:rFonts w:ascii="仿宋_GB2312" w:hAnsi="仿宋_GB2312" w:cs="仿宋_GB2312" w:eastAsia="仿宋_GB2312"/>
        </w:rPr>
        <w:t>4、拟派项目负责人须具备国家一级注册造价工程师资格且在本单位注册：拟派项目负责人须具备国家一级注册造价工程师资格且在本单位注册:供应商须提供项目负责人有效期内的注册证书加盖公章</w:t>
      </w:r>
    </w:p>
    <w:p>
      <w:pPr>
        <w:pStyle w:val="null3"/>
      </w:pPr>
      <w:r>
        <w:rPr>
          <w:rFonts w:ascii="仿宋_GB2312" w:hAnsi="仿宋_GB2312" w:cs="仿宋_GB2312" w:eastAsia="仿宋_GB2312"/>
        </w:rPr>
        <w:t>5、供应商不得在“信用中国”网站(www.creditchina.gov.cn）中列入失信被执行人名单，不得在国家企业信用信息公示系统（www.gsxt.gov.cn）中被列入严重违法失信企业名单；不得在中国政府采购网(www.ccgp.gov.cn）中被列入政府采购严重违法失信行为记录名单：供应商须提供加盖公章的《汉中市政府采购供应商资格承诺函》</w:t>
      </w:r>
    </w:p>
    <w:p>
      <w:pPr>
        <w:pStyle w:val="null3"/>
      </w:pPr>
      <w:r>
        <w:rPr>
          <w:rFonts w:ascii="仿宋_GB2312" w:hAnsi="仿宋_GB2312" w:cs="仿宋_GB2312" w:eastAsia="仿宋_GB2312"/>
        </w:rPr>
        <w:t>6、本项目专门面向中小企业：供应商须提供《中小企业声明函》并进行电子签章</w:t>
      </w:r>
    </w:p>
    <w:p>
      <w:pPr>
        <w:pStyle w:val="null3"/>
      </w:pPr>
      <w:r>
        <w:rPr>
          <w:rFonts w:ascii="仿宋_GB2312" w:hAnsi="仿宋_GB2312" w:cs="仿宋_GB2312" w:eastAsia="仿宋_GB2312"/>
        </w:rPr>
        <w:t>7、本项目不接受联合体投标：本项目不接受联合体投标，供应商需提供承诺并进行电子签章。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汉中市东一环路东段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0916-2536055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陕西瑞通达工程造价咨询有限公司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陕西省汉中市汉台区和谐春天108号楼3楼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石晓梅、袁凤霞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0916-2527896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开户名称：陕西瑞通达工程造价咨询有限公司</w:t>
            </w:r>
          </w:p>
          <w:p>
            <w:pPr>
              <w:pStyle w:val="null3"/>
            </w:pPr>
            <w:r>
              <w:rPr>
                <w:rFonts w:ascii="仿宋_GB2312" w:hAnsi="仿宋_GB2312" w:cs="仿宋_GB2312" w:eastAsia="仿宋_GB2312"/>
              </w:rPr>
              <w:t>开户银行：中国农业发展银行汉中市分行营业部</w:t>
            </w:r>
          </w:p>
          <w:p>
            <w:pPr>
              <w:pStyle w:val="null3"/>
            </w:pPr>
            <w:r>
              <w:rPr>
                <w:rFonts w:ascii="仿宋_GB2312" w:hAnsi="仿宋_GB2312" w:cs="仿宋_GB2312" w:eastAsia="仿宋_GB2312"/>
              </w:rPr>
              <w:t>银行账号：20361079900100000558521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价为基数，参照国家计委关于印发《招标代理服务收费管理暂行办法》（计价格〔2002〕1980号）、《发改委办公厅关于招标代理服务收费有关问题的通知》（发改办价格〔2003〕857号）以及《国家发展改革委关于降低部分建设项目收费标准规范收费行为等有关问题的通知》(发改价格〔2011〕534号)规定的国家标准收取，由成交供应商承担，在成交通知书发出前一次结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汉中市交通运输局</w:t>
      </w:r>
      <w:r>
        <w:rPr>
          <w:rFonts w:ascii="仿宋_GB2312" w:hAnsi="仿宋_GB2312" w:cs="仿宋_GB2312" w:eastAsia="仿宋_GB2312"/>
        </w:rPr>
        <w:t>和</w:t>
      </w:r>
      <w:r>
        <w:rPr>
          <w:rFonts w:ascii="仿宋_GB2312" w:hAnsi="仿宋_GB2312" w:cs="仿宋_GB2312" w:eastAsia="仿宋_GB2312"/>
        </w:rPr>
        <w:t>陕西瑞通达工程造价咨询有限公司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陕西瑞通达工程造价咨询有限公司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陕西瑞通达工程造价咨询有限公司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按照最新政策要求进行验收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联系人：石晓梅、袁凤霞</w:t>
      </w:r>
    </w:p>
    <w:p>
      <w:pPr>
        <w:pStyle w:val="null3"/>
      </w:pPr>
      <w:r>
        <w:rPr>
          <w:rFonts w:ascii="仿宋_GB2312" w:hAnsi="仿宋_GB2312" w:cs="仿宋_GB2312" w:eastAsia="仿宋_GB2312"/>
        </w:rPr>
        <w:t>联系电话：0916-2527896</w:t>
      </w:r>
    </w:p>
    <w:p>
      <w:pPr>
        <w:pStyle w:val="null3"/>
      </w:pPr>
      <w:r>
        <w:rPr>
          <w:rFonts w:ascii="仿宋_GB2312" w:hAnsi="仿宋_GB2312" w:cs="仿宋_GB2312" w:eastAsia="仿宋_GB2312"/>
        </w:rPr>
        <w:t>地址：陕西省汉中市汉台区和谐春天108号楼3楼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S27洋镇线镇巴至陕川界项目路线起于汉中市镇巴县城北侧泾洋镇小渡坝村，顺接西乡至镇巴高速公路，向西南设线，经长岭镇、黎坝镇，止于红星村，顺接四川省在建的镇巴（川陕界）至广安高速公路。路线全长32.632公里。项目总投资63.37亿元。全线采用双向四车道高速公路技术标准，起点至陈家坡隧道南口段3.54公里设计速度80公里/小时，路基宽度25.5米；陈家坡隧道南口至终点段设计速度100公里/小时，路基宽度26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S27洋镇线镇巴至陕川界高速公路项目杆管线迁改和企业厂矿拆迁全过程咨询技术服务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标的名称：S27洋镇线镇巴至陕川界高速公路项目杆管线迁改和企业厂矿拆迁全过程咨询技术服务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按照最新政策要求，完成</w:t>
            </w:r>
            <w:r>
              <w:rPr>
                <w:rFonts w:ascii="仿宋_GB2312" w:hAnsi="仿宋_GB2312" w:cs="仿宋_GB2312" w:eastAsia="仿宋_GB2312"/>
                <w:sz w:val="21"/>
              </w:rPr>
              <w:t>S27洋镇线镇巴至陕川界高速公路项目杆管线迁改和企业厂矿拆迁全过程咨询技术服务。针对本项目涉及的所有电力、通讯、广播电视、铁塔、军用光缆、国防光缆杆管线等设施迁改及企业厂矿拆迁工作进行前期摸排、方案优化、费用审核、协议谈判等咨询工作，编制并提供咨询审查报告，协助业主完成迁改验收、资料归档，配合完成各类审计等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合同签订之日起至项目通过专项审计后</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在约定时限内完成咨询审查报告，资料交接完整。配合完成各类审计等工作服务配合度⾼。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，达到付款条件起7个工作日内，支付合同总金额的25.0%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进度款，企业厂矿拆迁完成后，达到付款条件起7个工作日内，支付合同总金额的25.0%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进度款，电力杆线迁改完成后，达到付款条件起7个工作日内，支付合同总金额的20.0%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进度款，通讯及铁塔迁改完成后，达到付款条件起7个工作日内，支付合同总金额的15.0%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进度款，国防及军用光缆迁改完成后，达到付款条件起7个工作日内，支付合同总金额的5.0%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进度款，项目审计决算后，达到付款条件起7个工作日内，支付合同总金额的10.0%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（1）在执⾏本合同中发⽣的或与本项目有关的争端，双⽅应通过友好协商解决，经协商不能达成协议时，应提交项⽬所在地仲裁委员会仲裁或向当地⼈⺠法院提起诉讼解决。 （2）仲裁裁决或法院判决应为最终决定，并对双⽅具有约束⼒。 （3）除另有裁决外，仲裁费或诉讼费应由败诉⽅负担。 （4）在仲裁或诉讼期间，除正在进⾏仲裁或诉讼部分外，合同其他部分继续执⾏。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化交易平台应⽤⼯作，供应商需要在线提交所有通过电⼦化交易平台实施的政府采购项⽬的投标响应⽂件。各供应商应在递交截⽌时间前将响应⽂件上传⾄平台，如未按时提交响应⽂件或电⼦响应⽂件因供应商⾃⾝原因导致⽆法导⼊或解密，由此导致的结果由供应商⾃⾏承担。2.评审时因供应商提供⽂件材料不清晰导致⽆法辨认的，或隐瞒相关不良信息的，造成资格不通过的后果⾃负。3.成交供应商在采购结果发布后3个⼯作⽇内向代理机构提交纸质版响应⽂件以便于存档，响应⽂件正本1份，副本1份，电⼦版⽂件1份(U盘)。纸质响应⽂件均须A4纸双⾯打印，分别装订成册并编制⽬录和⻚码。线下递交响应⽂件地点:汉中市汉台区和谐春天108号楼3楼。4.如招标⽂件中融资相关内容 与新政策要求有出⼊，按照最新要求执⾏。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供应商须具有独立承担民事责任的能力，是具备独立法人资格或其他组织或自然人</w:t>
            </w:r>
          </w:p>
        </w:tc>
        <w:tc>
          <w:tcPr>
            <w:tcW w:type="dxa" w:w="3322"/>
          </w:tcPr>
          <w:p>
            <w:pPr>
              <w:pStyle w:val="null3"/>
            </w:pPr>
            <w:r>
              <w:rPr>
                <w:rFonts w:ascii="仿宋_GB2312" w:hAnsi="仿宋_GB2312" w:cs="仿宋_GB2312" w:eastAsia="仿宋_GB2312"/>
              </w:rPr>
              <w:t>供应商须具有独立承担民事责任的能力，是具备独立法人资格或其他组织或自然人。企业法人应提供合法有效的标识有统一社会信用代码的营业执照；事业法人应提供事业单位法人证书；其他组织应提供合法登记证明文件；供应商为自然人的提供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w:t>
            </w:r>
          </w:p>
        </w:tc>
        <w:tc>
          <w:tcPr>
            <w:tcW w:type="dxa" w:w="3322"/>
          </w:tcPr>
          <w:p>
            <w:pPr>
              <w:pStyle w:val="null3"/>
            </w:pPr>
            <w:r>
              <w:rPr>
                <w:rFonts w:ascii="仿宋_GB2312" w:hAnsi="仿宋_GB2312" w:cs="仿宋_GB2312" w:eastAsia="仿宋_GB2312"/>
              </w:rPr>
              <w:t>供应商应授权合法的人员参加磋商：法定代表人直接参与磋商时需提供法定代表人身份证明；被授权人参与时需提供被授权人身份证复印件及法定代表人授权委托书加盖公章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供应商须在全国投资项目在线审批监管平台（http://www.tzxm.gov.cn/）备案可查询，且备案专业须包含公路专业，供应商名称与该名录中的单位名称完全一致</w:t>
            </w:r>
          </w:p>
        </w:tc>
        <w:tc>
          <w:tcPr>
            <w:tcW w:type="dxa" w:w="3322"/>
          </w:tcPr>
          <w:p>
            <w:pPr>
              <w:pStyle w:val="null3"/>
            </w:pPr>
            <w:r>
              <w:rPr>
                <w:rFonts w:ascii="仿宋_GB2312" w:hAnsi="仿宋_GB2312" w:cs="仿宋_GB2312" w:eastAsia="仿宋_GB2312"/>
              </w:rPr>
              <w:t>供应商须在全国投资项目在线审批监管平台（http://www.tzxm.gov.cn/）备案可查询，且备案专业须包含公路专业，供应商名称与该名录中的单位名称完全一致:供应商须提供网页查询截图加盖公章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拟派项目负责人须具备国家一级注册造价工程师资格且在本单位注册</w:t>
            </w:r>
          </w:p>
        </w:tc>
        <w:tc>
          <w:tcPr>
            <w:tcW w:type="dxa" w:w="3322"/>
          </w:tcPr>
          <w:p>
            <w:pPr>
              <w:pStyle w:val="null3"/>
            </w:pPr>
            <w:r>
              <w:rPr>
                <w:rFonts w:ascii="仿宋_GB2312" w:hAnsi="仿宋_GB2312" w:cs="仿宋_GB2312" w:eastAsia="仿宋_GB2312"/>
              </w:rPr>
              <w:t>拟派项目负责人须具备国家一级注册造价工程师资格且在本单位注册:供应商须提供项目负责人有效期内的注册证书加盖公章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在“信用中国”网站(www.creditchina.gov.cn）中列入失信被执行人名单，不得在国家企业信用信息公示系统（www.gsxt.gov.cn）中被列入严重违法失信企业名单；不得在中国政府采购网(www.ccgp.gov.cn）中被列入政府采购严重违法失信行为记录名单</w:t>
            </w:r>
          </w:p>
        </w:tc>
        <w:tc>
          <w:tcPr>
            <w:tcW w:type="dxa" w:w="3322"/>
          </w:tcPr>
          <w:p>
            <w:pPr>
              <w:pStyle w:val="null3"/>
            </w:pPr>
            <w:r>
              <w:rPr>
                <w:rFonts w:ascii="仿宋_GB2312" w:hAnsi="仿宋_GB2312" w:cs="仿宋_GB2312" w:eastAsia="仿宋_GB2312"/>
              </w:rPr>
              <w:t>供应商须提供加盖公章的《汉中市政府采购供应商资格承诺函》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本项目专门面向中小企业</w:t>
            </w:r>
          </w:p>
        </w:tc>
        <w:tc>
          <w:tcPr>
            <w:tcW w:type="dxa" w:w="3322"/>
          </w:tcPr>
          <w:p>
            <w:pPr>
              <w:pStyle w:val="null3"/>
            </w:pPr>
            <w:r>
              <w:rPr>
                <w:rFonts w:ascii="仿宋_GB2312" w:hAnsi="仿宋_GB2312" w:cs="仿宋_GB2312" w:eastAsia="仿宋_GB2312"/>
              </w:rPr>
              <w:t>供应商须提供《中小企业声明函》并进行电子签章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本项目不接受联合体投标，供应商需提供承诺并进行电子签章。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投标有效期(实质性要求)</w:t>
            </w:r>
          </w:p>
        </w:tc>
        <w:tc>
          <w:tcPr>
            <w:tcW w:type="dxa" w:w="3322"/>
          </w:tcPr>
          <w:p>
            <w:pPr>
              <w:pStyle w:val="null3"/>
            </w:pPr>
            <w:r>
              <w:rPr>
                <w:rFonts w:ascii="仿宋_GB2312" w:hAnsi="仿宋_GB2312" w:cs="仿宋_GB2312" w:eastAsia="仿宋_GB2312"/>
              </w:rPr>
              <w:t>提交投标⽂件截⽌之⽇起90⽇历天。</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投标⽂件上指定位置处法定代表⼈或其授权委托⼈的签字盖章⻬全。</w:t>
            </w:r>
          </w:p>
        </w:tc>
        <w:tc>
          <w:tcPr>
            <w:tcW w:type="dxa" w:w="1661"/>
          </w:tcPr>
          <w:p>
            <w:pPr>
              <w:pStyle w:val="null3"/>
            </w:pPr>
            <w:r>
              <w:rPr>
                <w:rFonts w:ascii="仿宋_GB2312" w:hAnsi="仿宋_GB2312" w:cs="仿宋_GB2312" w:eastAsia="仿宋_GB2312"/>
              </w:rPr>
              <w:t>响应文件封面 资格证明文件 中小企业声明函 残疾人福利性单位声明函 服务方案 标的清单 保证金缴纳凭证 报价表 响应函 监狱企业的证明文件 服务要求偏离表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只能有⼀个有效报价，不得提交选择性报价。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供应商应按照招标⽂件要求⾜额缴纳投标保证⾦，并提供相关凭证。</w:t>
            </w:r>
          </w:p>
        </w:tc>
        <w:tc>
          <w:tcPr>
            <w:tcW w:type="dxa" w:w="1661"/>
          </w:tcPr>
          <w:p>
            <w:pPr>
              <w:pStyle w:val="null3"/>
            </w:pPr>
            <w:r>
              <w:rPr>
                <w:rFonts w:ascii="仿宋_GB2312" w:hAnsi="仿宋_GB2312" w:cs="仿宋_GB2312" w:eastAsia="仿宋_GB2312"/>
              </w:rPr>
              <w:t>保证金缴纳凭证</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2021年1月1日至响应文件递交截止之日独立承担过同类业绩。同类业绩：杆管线迁改或企业厂矿拆迁咨询业绩。业绩证明材料：须提供清晰合同复印件并加盖供应商公章。每提供一个业绩得1分,最高得5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一、评审内容：供应商对本项目编制整体服务方案，包括但不限于：①项目需求理解与区域概况分析；②整体工作思路及工作方法；③工作流程及内容。 ⼆、评审标准：1、完整性：⽅案必须全⾯，对评审内容中的各项要求有详细阐述。2、针对性：紧扣项⽬实际情况，内容科学合理。3、可实施性：切合本项⽬实际情况，提出步骤清晰合理的⽅案。 三、每项满⾜⼀个评审标准得1分，对该评审标准的响应内容模糊或存在缺陷得0.5分，未提供或完全⽆法满⾜该评审标准得0分。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项目质量保障方案</w:t>
            </w:r>
          </w:p>
        </w:tc>
        <w:tc>
          <w:tcPr>
            <w:tcW w:type="dxa" w:w="2492"/>
          </w:tcPr>
          <w:p>
            <w:pPr>
              <w:pStyle w:val="null3"/>
            </w:pPr>
            <w:r>
              <w:rPr>
                <w:rFonts w:ascii="仿宋_GB2312" w:hAnsi="仿宋_GB2312" w:cs="仿宋_GB2312" w:eastAsia="仿宋_GB2312"/>
              </w:rPr>
              <w:t>一、评审内容：供应商编写质量保证措施确保工作优质、高效完成，包括但不限于：①针对杆管线与厂矿拆迁的专项核查质量保证措施；②供应商内部质量控制体系及制度；③项目成果文件质量保障方案。 ⼆、评审标准：1、完整性：⽅案必须全⾯，对评审内容中的各项要求有详细阐述。2、针对性：紧扣项⽬实际情况，内容科学合理。3、可实施性：切合本项⽬实际情况，提出步骤清晰合理的⽅案。 三、每项满⾜⼀个评审标准得1分，对该评审标准的响应内容模糊或存在缺陷得0.5分，未提供或完全⽆法满⾜该评审标准得0分。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项目进度保障方案</w:t>
            </w:r>
          </w:p>
        </w:tc>
        <w:tc>
          <w:tcPr>
            <w:tcW w:type="dxa" w:w="2492"/>
          </w:tcPr>
          <w:p>
            <w:pPr>
              <w:pStyle w:val="null3"/>
            </w:pPr>
            <w:r>
              <w:rPr>
                <w:rFonts w:ascii="仿宋_GB2312" w:hAnsi="仿宋_GB2312" w:cs="仿宋_GB2312" w:eastAsia="仿宋_GB2312"/>
              </w:rPr>
              <w:t>一、评审内容：供应商编写进度保证措施确保工作按期完成，包括但不限于：①征拆时序动态响应与弹性计划编制；②产权协调与外部协同的时效性保障措施；③可能影响服务周期的各种因素分析及应对措施。 ⼆、评审标准：1、完整性：⽅案必须全⾯，对评审内容中的各项要求有详细阐述。2、针对性：紧扣项⽬实际情况，内容科学合理。3、可实施性：切合本项⽬实际情况，提出步骤清晰合理的⽅案。 三、每项满⾜⼀个评审标准得1分，对该评审标准的响应内容模糊或存在缺陷得0.5分，未提供或完全⽆法满⾜该评审标准得0分。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一、评审内容：供应商针对本项目进行重点难点分析，包括但不限于：①权属核查及合规保障；②费用审核依据；③与杆管线产权单位和主管单位的协调机制、企业厂矿拆迁的资产评估、补偿谈判策略。 二、评审标准：1、完整性：⽅案必须全⾯，对评审内容中的各项要求有详细阐述。2、针对性：紧扣项⽬实际情况，内容科学合理。3、可实施性：切合本项⽬实际情况，提出步骤清晰合理的⽅案。 三、每项满⾜⼀个评审标准得1分，对该评审标准的响应内容模糊或存在缺陷得0.5分，未提供或完全⽆法满⾜该评审标准得0分。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一、评审内容：供应商针对本项目编制保密方案，包括但不限于：①针对项目涉及的敏感数据、资料等，制定保密管理制度；②具体的保密措施。 ⼆、评审标准：1、完整性、针对性：⽅案必须全⾯，对评审内容中的各项要求有详细阐述。紧扣项⽬实际情况，内容科学合理。2、可实施性：切合本项⽬实际情况，提出步骤清晰合理的⽅案。 三、每项满⾜⼀个评审标准得1分，对该评审标准的响应内容模糊或存在缺陷得0.5分，未提供或完全⽆法满⾜该评审标准得0分。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项目负责人具备高级工程师职称的得3分，具备中级工程师职称的得2分，具备助理工程师职称的得1分。提供人员身份证、职称证复印件加盖公章。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项目负责人自2021年1月1日至响应文件递交截止之日独立承担过同类业绩。同类业绩：杆管线迁改或企业厂矿拆迁咨询业绩。业绩证明材料：须提供清晰合同复印件并加盖供应商公章，每提供一个业绩得1分,最高得3分。（以合同签订时间为准）项目负责人提供业绩与企业业绩相同时均予以认可。如合同未体现项目负责人姓名则还需提供能证明项目负责人的成果文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一、供应商除项目负责人外提供国家一级注册造价工程师（专业：交通运输工程）的每一个人员得3分，最高可得15分； 二、供应商除项目负责人外提供其他专业的国家一级注册造价工程师每一个人员得2分，最高可得10分。 评审标准：提供人员身份证、有效期内的注册证并加盖公章，未提供证明资料或证明资料不全难以辨别的，本项不得分。同一人提供多个专业的仅计取一次加分。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对能够完成本项目工作的服务承诺，包括①无条件修改调整优化咨询方案的承诺；②工作底稿准确规范性与成果文件一致性承诺；③承诺若中标后派驻团队⼈员的稳定性，未经采购⼈许可不随意更换⼈员，或经采购⼈同意后提供详细的⼈员更换及顶岗储备⼈员承诺；④不能按期交付成果文件时愿意接受相关处罚的承诺；⑤建立应急服务机制，如遇突发情况或政策调整，能快速响应、及时处置，积极协助采购人推进项目进展的承诺；⑥供应商须对服务期间的全部安全事项负总责，因服务过程中发生的任何人员伤亡、财产损失或其他安全事故，均由供应商独立承担全部法律责任，采购人不承担任何责任的承诺；⑦在咨询服务的全过程中，坚持依法办事、按章操作、公正履职、廉洁从业，不向甲方人员行贿、不提供不正当利益、不向权属单位索贿的承诺。 二、评审标准：以上提供承诺函加盖供应商公章，每提供一项承诺得2分，最高可得14分。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价格分统⼀采⽤低价优先法计算，即满⾜招标⽂件要求且投标价格最低的投标报价为评标基准价，其价格分为满分10分，其他供应商的价格分统⼀按照下列公式计算：投标报价得分=（评标基准价/投标报价）×10。 政府采购评审中出现下列情形之⼀的，评审委员会应当启动异常低价投标（响应）审查程序：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最⾼限价45%的，即投标（响应）报价&lt;采购项⽬最⾼限价×45%；未设定最⾼限价的采购项⽬，以采购项⽬预算⾦额作为最⾼限价；（4）评审委员会基于专业判断，认为供应商报价过低，有可能影响产品质量或者不能诚信履约的其他情形。评审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其中，属于第3项情形，供应商已随投标（响应）⽂件⼀并提交相关书⾯说明及必要的证明材料的，在评审现场可不再重复提交。评审委员会依据专业经验，参考同类项⽬中标（成交）价格、类似产品市场价格⽔平、⾏业⼈⼯费⽤标准、国家有关部⻔指导⾏业协会发布的⾏业平均成本等情况，对报价合理性进⾏判断。投标（响应）供应商不能提供书⾯说明、证明材料，或者提供的书⾯说明、证明材料不能证明其报价合理性的，评审委员会应当将其作为⽆效投标（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详见附件：服务要求偏离表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详见附件：《委托合同（示范文本）》（GF—2025—1001）.docx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