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02314">
      <w:pPr>
        <w:spacing w:line="360" w:lineRule="auto"/>
        <w:jc w:val="center"/>
        <w:rPr>
          <w:rFonts w:cs="仿宋" w:asciiTheme="minorEastAsia" w:hAnsiTheme="minorEastAsia" w:eastAsiaTheme="minorEastAsia"/>
          <w:b/>
          <w:bCs/>
          <w:sz w:val="44"/>
          <w:szCs w:val="52"/>
          <w:highlight w:val="none"/>
        </w:rPr>
      </w:pPr>
      <w:r>
        <w:rPr>
          <w:rFonts w:hint="eastAsia" w:cs="仿宋" w:asciiTheme="minorEastAsia" w:hAnsiTheme="minorEastAsia" w:eastAsiaTheme="minorEastAsia"/>
          <w:b/>
          <w:bCs/>
          <w:sz w:val="44"/>
          <w:szCs w:val="52"/>
          <w:highlight w:val="none"/>
          <w:lang w:eastAsia="zh-CN"/>
        </w:rPr>
        <w:t>航天基地2026年度安全生产委托服务项目</w:t>
      </w:r>
      <w:r>
        <w:rPr>
          <w:rFonts w:hint="eastAsia" w:cs="仿宋" w:asciiTheme="minorEastAsia" w:hAnsiTheme="minorEastAsia" w:eastAsiaTheme="minorEastAsia"/>
          <w:b/>
          <w:bCs/>
          <w:sz w:val="44"/>
          <w:szCs w:val="52"/>
          <w:highlight w:val="none"/>
        </w:rPr>
        <w:t>合同</w:t>
      </w:r>
    </w:p>
    <w:p w14:paraId="24368D6C">
      <w:pPr>
        <w:spacing w:line="360" w:lineRule="auto"/>
        <w:jc w:val="center"/>
        <w:rPr>
          <w:rFonts w:cs="仿宋" w:asciiTheme="minorEastAsia" w:hAnsiTheme="minorEastAsia" w:eastAsiaTheme="minorEastAsia"/>
          <w:b/>
          <w:bCs/>
          <w:sz w:val="52"/>
          <w:szCs w:val="52"/>
          <w:highlight w:val="none"/>
        </w:rPr>
      </w:pPr>
    </w:p>
    <w:p w14:paraId="5E843B80">
      <w:pPr>
        <w:pStyle w:val="3"/>
        <w:tabs>
          <w:tab w:val="center" w:pos="4153"/>
          <w:tab w:val="right" w:pos="8306"/>
        </w:tabs>
        <w:rPr>
          <w:highlight w:val="none"/>
        </w:rPr>
      </w:pPr>
    </w:p>
    <w:p w14:paraId="10044C10">
      <w:pPr>
        <w:rPr>
          <w:rFonts w:cs="仿宋" w:asciiTheme="minorEastAsia" w:hAnsiTheme="minorEastAsia" w:eastAsiaTheme="minorEastAsia"/>
          <w:highlight w:val="none"/>
        </w:rPr>
      </w:pPr>
    </w:p>
    <w:p w14:paraId="674B7517">
      <w:pPr>
        <w:rPr>
          <w:rFonts w:cs="仿宋" w:asciiTheme="minorEastAsia" w:hAnsiTheme="minorEastAsia" w:eastAsiaTheme="minorEastAsia"/>
          <w:highlight w:val="none"/>
        </w:rPr>
      </w:pPr>
    </w:p>
    <w:p w14:paraId="08139E97">
      <w:pPr>
        <w:rPr>
          <w:rFonts w:cs="仿宋" w:asciiTheme="minorEastAsia" w:hAnsiTheme="minorEastAsia" w:eastAsiaTheme="minorEastAsia"/>
          <w:highlight w:val="none"/>
        </w:rPr>
      </w:pPr>
    </w:p>
    <w:p w14:paraId="0DFEF15B">
      <w:pPr>
        <w:rPr>
          <w:rFonts w:cs="仿宋" w:asciiTheme="minorEastAsia" w:hAnsiTheme="minorEastAsia" w:eastAsiaTheme="minorEastAsia"/>
          <w:highlight w:val="none"/>
        </w:rPr>
      </w:pPr>
    </w:p>
    <w:p w14:paraId="3DB43C09">
      <w:pPr>
        <w:rPr>
          <w:rFonts w:cs="仿宋" w:asciiTheme="minorEastAsia" w:hAnsiTheme="minorEastAsia" w:eastAsiaTheme="minorEastAsia"/>
          <w:highlight w:val="none"/>
        </w:rPr>
      </w:pPr>
    </w:p>
    <w:p w14:paraId="000BA36F">
      <w:pPr>
        <w:jc w:val="center"/>
        <w:rPr>
          <w:rFonts w:cs="仿宋" w:asciiTheme="minorEastAsia" w:hAnsiTheme="minorEastAsia" w:eastAsiaTheme="minorEastAsia"/>
          <w:b/>
          <w:sz w:val="36"/>
          <w:szCs w:val="36"/>
          <w:highlight w:val="none"/>
        </w:rPr>
      </w:pPr>
      <w:r>
        <w:rPr>
          <w:rFonts w:hint="eastAsia" w:cs="仿宋" w:asciiTheme="minorEastAsia" w:hAnsiTheme="minorEastAsia" w:eastAsiaTheme="minorEastAsia"/>
          <w:b/>
          <w:sz w:val="36"/>
          <w:szCs w:val="36"/>
          <w:highlight w:val="none"/>
        </w:rPr>
        <w:t>（示范文本）</w:t>
      </w:r>
    </w:p>
    <w:p w14:paraId="5E2EFB35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39CD7C57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70BB2C25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3C4EF2B5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22F4EBF5">
      <w:pPr>
        <w:pStyle w:val="2"/>
        <w:rPr>
          <w:rFonts w:ascii="宋体" w:hAnsi="宋体"/>
          <w:b/>
          <w:bCs/>
          <w:sz w:val="36"/>
          <w:szCs w:val="36"/>
          <w:highlight w:val="none"/>
        </w:rPr>
      </w:pPr>
    </w:p>
    <w:p w14:paraId="1826A28D">
      <w:pPr>
        <w:rPr>
          <w:highlight w:val="none"/>
        </w:rPr>
      </w:pPr>
    </w:p>
    <w:p w14:paraId="5769400C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19FC61D3">
      <w:pPr>
        <w:pStyle w:val="3"/>
        <w:tabs>
          <w:tab w:val="center" w:pos="4153"/>
          <w:tab w:val="right" w:pos="8306"/>
        </w:tabs>
        <w:rPr>
          <w:rFonts w:ascii="宋体" w:hAnsi="宋体"/>
          <w:b/>
          <w:bCs/>
          <w:sz w:val="36"/>
          <w:szCs w:val="36"/>
          <w:highlight w:val="none"/>
        </w:rPr>
      </w:pPr>
    </w:p>
    <w:p w14:paraId="337906AF">
      <w:pPr>
        <w:pStyle w:val="3"/>
        <w:tabs>
          <w:tab w:val="center" w:pos="4153"/>
          <w:tab w:val="right" w:pos="8306"/>
        </w:tabs>
        <w:rPr>
          <w:rFonts w:ascii="宋体" w:hAnsi="宋体"/>
          <w:b/>
          <w:bCs/>
          <w:sz w:val="36"/>
          <w:szCs w:val="36"/>
          <w:highlight w:val="none"/>
        </w:rPr>
      </w:pPr>
    </w:p>
    <w:p w14:paraId="18C10534">
      <w:pPr>
        <w:spacing w:line="560" w:lineRule="exact"/>
        <w:rPr>
          <w:rFonts w:ascii="宋体" w:hAnsi="宋体"/>
          <w:b/>
          <w:bCs/>
          <w:sz w:val="36"/>
          <w:szCs w:val="36"/>
          <w:highlight w:val="none"/>
        </w:rPr>
      </w:pPr>
    </w:p>
    <w:p w14:paraId="4A54417B">
      <w:pPr>
        <w:spacing w:line="560" w:lineRule="exact"/>
        <w:jc w:val="both"/>
        <w:rPr>
          <w:rFonts w:hint="eastAsia" w:ascii="宋体" w:hAnsi="宋体" w:eastAsia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甲方(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begin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separate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采购人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end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)：</w:t>
      </w:r>
      <w:r>
        <w:rPr>
          <w:rFonts w:hint="eastAsia" w:ascii="宋体" w:hAnsi="宋体"/>
          <w:b/>
          <w:bCs/>
          <w:sz w:val="32"/>
          <w:szCs w:val="32"/>
          <w:highlight w:val="none"/>
          <w:lang w:eastAsia="zh-CN"/>
        </w:rPr>
        <w:t>西安国家民用航天产业基地管理委员会</w:t>
      </w:r>
    </w:p>
    <w:p w14:paraId="7DF915BE">
      <w:pPr>
        <w:jc w:val="both"/>
        <w:rPr>
          <w:rFonts w:hint="eastAsia" w:ascii="宋体" w:hAnsi="宋体" w:eastAsia="宋体"/>
          <w:b/>
          <w:bCs/>
          <w:kern w:val="0"/>
          <w:sz w:val="30"/>
          <w:highlight w:val="none"/>
          <w:u w:val="singl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begin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separate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乙方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fldChar w:fldCharType="end"/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(供应商)：</w:t>
      </w:r>
    </w:p>
    <w:p w14:paraId="219A41FA">
      <w:pPr>
        <w:adjustRightInd w:val="0"/>
        <w:snapToGrid w:val="0"/>
        <w:spacing w:line="360" w:lineRule="auto"/>
        <w:outlineLvl w:val="0"/>
        <w:rPr>
          <w:rFonts w:ascii="宋体" w:hAnsi="宋体"/>
          <w:b/>
          <w:bCs/>
          <w:kern w:val="0"/>
          <w:sz w:val="30"/>
          <w:highlight w:val="none"/>
          <w:u w:val="single"/>
        </w:rPr>
      </w:pPr>
    </w:p>
    <w:p w14:paraId="4E4280AF">
      <w:pPr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kern w:val="0"/>
          <w:sz w:val="30"/>
          <w:highlight w:val="none"/>
          <w:u w:val="single"/>
        </w:rPr>
      </w:pPr>
      <w:r>
        <w:rPr>
          <w:rFonts w:hint="eastAsia" w:ascii="宋体" w:hAnsi="宋体" w:eastAsia="宋体" w:cs="宋体"/>
          <w:b/>
          <w:bCs w:val="0"/>
          <w:spacing w:val="23"/>
          <w:kern w:val="0"/>
          <w:sz w:val="32"/>
          <w:szCs w:val="32"/>
          <w:highlight w:val="none"/>
        </w:rPr>
        <w:t>签订时间：</w:t>
      </w:r>
      <w:r>
        <w:rPr>
          <w:rFonts w:hint="eastAsia" w:ascii="宋体" w:hAnsi="宋体" w:cs="宋体"/>
          <w:b/>
          <w:bCs w:val="0"/>
          <w:spacing w:val="23"/>
          <w:kern w:val="0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spacing w:val="23"/>
          <w:kern w:val="0"/>
          <w:sz w:val="32"/>
          <w:szCs w:val="32"/>
          <w:highlight w:val="none"/>
        </w:rPr>
        <w:t>年</w:t>
      </w:r>
      <w:r>
        <w:rPr>
          <w:rFonts w:hint="eastAsia" w:ascii="宋体" w:hAnsi="宋体" w:cs="宋体"/>
          <w:b/>
          <w:bCs w:val="0"/>
          <w:spacing w:val="23"/>
          <w:kern w:val="0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spacing w:val="23"/>
          <w:kern w:val="0"/>
          <w:sz w:val="32"/>
          <w:szCs w:val="32"/>
          <w:highlight w:val="none"/>
        </w:rPr>
        <w:t>月</w:t>
      </w:r>
      <w:r>
        <w:rPr>
          <w:rFonts w:hint="eastAsia" w:ascii="宋体" w:hAnsi="宋体" w:cs="宋体"/>
          <w:b/>
          <w:bCs w:val="0"/>
          <w:spacing w:val="23"/>
          <w:kern w:val="0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spacing w:val="23"/>
          <w:kern w:val="0"/>
          <w:sz w:val="32"/>
          <w:szCs w:val="32"/>
          <w:highlight w:val="none"/>
        </w:rPr>
        <w:t>日</w:t>
      </w:r>
    </w:p>
    <w:p w14:paraId="35E97971">
      <w:pPr>
        <w:pageBreakBefore w:val="0"/>
        <w:kinsoku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ascii="宋体" w:hAnsi="宋体"/>
          <w:b/>
          <w:bCs/>
          <w:kern w:val="0"/>
          <w:sz w:val="30"/>
          <w:highlight w:val="none"/>
          <w:u w:val="single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委 托 人：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（以下简称甲方）</w:t>
      </w:r>
    </w:p>
    <w:p w14:paraId="340ACB12">
      <w:pPr>
        <w:pageBreakBefore w:val="0"/>
        <w:kinsoku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受 托 人：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（以下简称乙方）</w:t>
      </w:r>
    </w:p>
    <w:p w14:paraId="3A27DB92">
      <w:pPr>
        <w:pageBreakBefore w:val="0"/>
        <w:kinsoku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55687E3">
      <w:pPr>
        <w:spacing w:before="78" w:line="219" w:lineRule="auto"/>
        <w:ind w:left="508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根据《中华人民共和国民法典》、《中华人民共和国政府采购法》及其他相关法律、</w:t>
      </w:r>
    </w:p>
    <w:p w14:paraId="7311ADA8">
      <w:pPr>
        <w:spacing w:before="277" w:line="432" w:lineRule="auto"/>
        <w:ind w:left="31" w:right="1484" w:hanging="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法规，按照政府采购相关程序，经过甲乙双方协商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一致，就甲方委托乙方承担项目的具体工作内容，签订本合同。</w:t>
      </w:r>
    </w:p>
    <w:p w14:paraId="736E4E6C">
      <w:pPr>
        <w:spacing w:before="78" w:line="219" w:lineRule="auto"/>
        <w:ind w:left="30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第一条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服务范围和服务内容</w:t>
      </w:r>
    </w:p>
    <w:p w14:paraId="474EE176">
      <w:pPr>
        <w:pStyle w:val="2"/>
        <w:spacing w:line="346" w:lineRule="auto"/>
        <w:rPr>
          <w:highlight w:val="none"/>
        </w:rPr>
      </w:pPr>
    </w:p>
    <w:p w14:paraId="19D7B1FC">
      <w:pPr>
        <w:spacing w:before="91" w:line="221" w:lineRule="auto"/>
        <w:ind w:left="50"/>
        <w:rPr>
          <w:rFonts w:hint="default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-2"/>
          <w:sz w:val="28"/>
          <w:szCs w:val="28"/>
          <w:highlight w:val="none"/>
        </w:rPr>
        <w:t>1、项目名称：</w:t>
      </w:r>
      <w:r>
        <w:rPr>
          <w:rFonts w:hint="eastAsia" w:ascii="宋体" w:hAnsi="宋体" w:eastAsia="宋体" w:cs="宋体"/>
          <w:b/>
          <w:bCs/>
          <w:spacing w:val="-2"/>
          <w:sz w:val="28"/>
          <w:szCs w:val="28"/>
          <w:highlight w:val="none"/>
          <w:u w:val="single"/>
          <w:lang w:val="en-US" w:eastAsia="zh-CN"/>
        </w:rPr>
        <w:t xml:space="preserve">                                  </w:t>
      </w:r>
    </w:p>
    <w:p w14:paraId="27773F77">
      <w:pPr>
        <w:spacing w:before="325" w:line="220" w:lineRule="auto"/>
        <w:ind w:left="33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  <w:highlight w:val="none"/>
        </w:rPr>
        <w:t>2、服务要求及内容：</w:t>
      </w:r>
    </w:p>
    <w:p w14:paraId="5E3E7E14">
      <w:pPr>
        <w:spacing w:before="133" w:line="360" w:lineRule="auto"/>
        <w:ind w:left="32" w:right="572" w:firstLine="477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本项目主要采购第三方服务机构对基地内相关企业开展危化企业、工贸企业等重点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行业领域隐患排查治理，安全培训，技术咨询等工作。</w:t>
      </w:r>
    </w:p>
    <w:p w14:paraId="1950E44D">
      <w:pPr>
        <w:spacing w:before="1" w:line="219" w:lineRule="auto"/>
        <w:ind w:left="3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  <w:highlight w:val="none"/>
        </w:rPr>
        <w:t>2.1</w:t>
      </w:r>
      <w:r>
        <w:rPr>
          <w:rFonts w:ascii="宋体" w:hAnsi="宋体" w:eastAsia="宋体" w:cs="宋体"/>
          <w:spacing w:val="-3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  <w:highlight w:val="none"/>
        </w:rPr>
        <w:t>安全生产委托服务项目服务要求</w:t>
      </w:r>
    </w:p>
    <w:p w14:paraId="40559F68">
      <w:pPr>
        <w:spacing w:line="67" w:lineRule="exact"/>
        <w:rPr>
          <w:highlight w:val="none"/>
        </w:rPr>
      </w:pPr>
    </w:p>
    <w:tbl>
      <w:tblPr>
        <w:tblStyle w:val="4"/>
        <w:tblW w:w="83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455"/>
        <w:gridCol w:w="2685"/>
        <w:gridCol w:w="825"/>
        <w:gridCol w:w="825"/>
        <w:gridCol w:w="1110"/>
        <w:gridCol w:w="855"/>
      </w:tblGrid>
      <w:tr w14:paraId="16EFA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CDB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序号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16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D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服务要求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C3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73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     （元）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89D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备注</w:t>
            </w:r>
          </w:p>
        </w:tc>
      </w:tr>
      <w:tr w14:paraId="00561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257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6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安全检查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（每次2名专家，1名技术员，车辆一部）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DF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常态化专项检查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D0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C9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5D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B57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4D5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283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088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7FA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专项检查月度抽查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E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0A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1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640B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B14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38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68C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FB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重大会议期间综合安全检查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82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0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D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455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67A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ED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131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E7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节假日安全检查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4B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E8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52F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928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DED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2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安全培训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（每次培训的培训老师为市级、省级安全生产或应急领域专家1名，技术人员1名。单次培训时长：2.5小时）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471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领导责任培训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F9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F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38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46C9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581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044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EC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25D7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监管责任培训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5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7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6A2E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EE5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F8D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252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C77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安全生产月培训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A3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F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D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89C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B46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EAE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6B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945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危化和商贸类企业管理责任培训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F9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4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B5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E1C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680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45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3E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C80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工业企业管理责任培训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59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91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9B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F1E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C79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52B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BF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CE3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建筑施工领域管理责任培训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19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1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B16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DFB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A76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09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971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校园安全教育和培训工作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2D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D1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A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A25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45A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A9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D51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F01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人员密集场所管理责任培训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96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03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4A3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DDF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D03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C5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6F0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复工复产培训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9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50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70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4E85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C5D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4E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72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B27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应急局执法人员培训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8A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D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2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C47E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B16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3F8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BC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34D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应急队伍培训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E0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64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08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73F0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DD3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69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96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529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商贸流通领域企业应急演练指导服务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5F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90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2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48CB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D36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B32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3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安全资料档案管理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10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资料档案管理上门指导服务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6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87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19D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17B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94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7B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0984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协助编撰安全生产年度总结分析报告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4D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2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E1E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4FB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D22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3E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16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协助编撰安全生产季度专项总结报告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C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C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6F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F6D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852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4A4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9E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B6C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资料归纳整理、打印、装订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3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9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CA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7C32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685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F6B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F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完善安全管理制度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CF0F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9F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24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71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35A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2B3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4C5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B7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校园安全风险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预防体系建立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BD6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3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2E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8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DCCF4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58F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3A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F5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校园安全事故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应对方案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DE1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1D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6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5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72AD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117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C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57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技术支持与咨询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4B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技术支持与咨询，行政执法程序咨询与指导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79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97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6A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F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F46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00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C5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车辆费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5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每次出行车辆保障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03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2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42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760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0110542">
      <w:pPr>
        <w:pStyle w:val="2"/>
        <w:rPr>
          <w:highlight w:val="none"/>
        </w:rPr>
      </w:pPr>
    </w:p>
    <w:p w14:paraId="23CD2727">
      <w:pPr>
        <w:spacing w:before="78" w:line="219" w:lineRule="auto"/>
        <w:ind w:left="3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  <w:highlight w:val="none"/>
        </w:rPr>
        <w:t>2.2</w:t>
      </w:r>
      <w:r>
        <w:rPr>
          <w:rFonts w:ascii="宋体" w:hAnsi="宋体" w:eastAsia="宋体" w:cs="宋体"/>
          <w:spacing w:val="-4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  <w:highlight w:val="none"/>
        </w:rPr>
        <w:t>服务人员其他要求：</w:t>
      </w:r>
    </w:p>
    <w:p w14:paraId="5C0C0AFE">
      <w:pPr>
        <w:spacing w:before="182" w:line="219" w:lineRule="auto"/>
        <w:ind w:left="51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依照委托单位工作方案，委派人员密切配合委托单位要求，服务人员主要工作内容：</w:t>
      </w:r>
    </w:p>
    <w:p w14:paraId="786992CA">
      <w:pPr>
        <w:spacing w:before="182" w:line="290" w:lineRule="auto"/>
        <w:ind w:left="868" w:right="644" w:hanging="27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117475</wp:posOffset>
                </wp:positionV>
                <wp:extent cx="153670" cy="153035"/>
                <wp:effectExtent l="4445" t="4445" r="13335" b="13970"/>
                <wp:wrapNone/>
                <wp:docPr id="8" name="任意多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2" h="241">
                              <a:moveTo>
                                <a:pt x="240" y="120"/>
                              </a:moveTo>
                              <a:cubicBezTo>
                                <a:pt x="240" y="186"/>
                                <a:pt x="186" y="240"/>
                                <a:pt x="120" y="240"/>
                              </a:cubicBezTo>
                              <a:cubicBezTo>
                                <a:pt x="54" y="240"/>
                                <a:pt x="0" y="186"/>
                                <a:pt x="0" y="120"/>
                              </a:cubicBezTo>
                              <a:cubicBezTo>
                                <a:pt x="0" y="54"/>
                                <a:pt x="54" y="0"/>
                                <a:pt x="120" y="0"/>
                              </a:cubicBezTo>
                              <a:cubicBezTo>
                                <a:pt x="186" y="0"/>
                                <a:pt x="240" y="54"/>
                                <a:pt x="240" y="120"/>
                              </a:cubicBezTo>
                            </a:path>
                          </a:pathLst>
                        </a:custGeom>
                        <a:noFill/>
                        <a:ln w="635" cap="sq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95pt;margin-top:9.25pt;height:12.05pt;width:12.1pt;z-index:251662336;mso-width-relative:page;mso-height-relative:page;" filled="f" stroked="t" coordsize="242,241" o:gfxdata="UEsDBAoAAAAAAIdO4kAAAAAAAAAAAAAAAAAEAAAAZHJzL1BLAwQUAAAACACHTuJASRMa2tQAAAAH&#10;AQAADwAAAGRycy9kb3ducmV2LnhtbE2Oy07DMBBF90j8gzVI7KiTUvoIcbpAVEJiQSll78RDHGGP&#10;k9h9/T3DCpb3oXtPuT57J444xi6QgnySgUBqgumoVbD/2NwtQcSkyWgXCBVcMMK6ur4qdWHCid7x&#10;uEut4BGKhVZgU+oLKWNj0es4CT0SZ19h9DqxHFtpRn3ice/kNMvm0uuO+MHqHp8sNt+7g1eAW/ny&#10;KYfnwW4Gd8F0X+Pb9lWp25s8ewSR8Jz+yvCLz+hQMVMdDmSicApmqxU32V8+gOB8MctB1OxP5yCr&#10;Uv7nr34AUEsDBBQAAAAIAIdO4kBpJ6+ZjQIAAOkFAAAOAAAAZHJzL2Uyb0RvYy54bWytVM2O0zAQ&#10;viPxDpbvNG22LVXVdCUoywXBSrs8gOs4jSX/YbtJy5k7d46Il0AreBoW8RiMnbRNyh72QA7JjD35&#10;5ptv7Flc7qRAFbOOa5Xh0WCIEVNU51xtMvz+9urZDCPnicqJ0IpleM8cvlw+fbKozZylutQiZxYB&#10;iHLz2mS49N7Mk8TRkkniBtowBZuFtpJ4cO0myS2pAV2KJB0Op0mtbW6spsw5WF01m7hFtI8B1EXB&#10;KVtpupVM+QbVMkE8lORKbhxeRrZFwah/VxSOeSQyDJX6+IYkYK/DO1kuyHxjiSk5bSmQx1A4q0kS&#10;riDpEWpFPEFby/+Bkpxa7XThB1TLpCkkKgJVjIZn2tyUxLBYC0jtzFF09/9g6dvq2iKeZxjaroiE&#10;hv+6u/v96fP9ty9/fn6///EVzYJItXFziL0x17b1HJih4l1hZfhCLWgXhd0fhWU7jygsjiYX0+cg&#10;OYUtsIcXk4CZnH6mW+dfMx2BSPXG+aYv+cEi5cGiO3UwDfFhOSQPJqoznI5TjMrwHcV2SF2xWx0j&#10;fGCXjoFFIJHG1gODUwTdrjl9wT4+GD+bNkfFRJgRuAEmwEWm7TKgdpYBvY/Z95p/JuPuL1BJTNCy&#10;7Gc9p96H63tdGEjRIdkmfJD4QZQ+Vt9rS20V6MEc1O0nPKyeNO8CgkihefE0HBsalTudCKWvuBCx&#10;BqFCm6dwgBAlMH3cBzCkgfPr1Ca23GnB8xAfuu7sZv1SWFSRcP/j0568Xpixzq+IK5u4uNVItmYV&#10;axKXjOSvVI783sAdUTAacWAiWY6RYDBJgxUpesLFYyKhSKGg7nC1mssUrLXO93Ajt8byTQnjahT5&#10;hh2YAFGldlqFEdP1I9JpQi/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kTGtrUAAAABwEAAA8A&#10;AAAAAAAAAQAgAAAAIgAAAGRycy9kb3ducmV2LnhtbFBLAQIUABQAAAAIAIdO4kBpJ6+ZjQIAAOkF&#10;AAAOAAAAAAAAAAEAIAAAACMBAABkcnMvZTJvRG9jLnhtbFBLBQYAAAAABgAGAFkBAAAiBgAAAAA=&#10;" path="m240,120c240,186,186,240,120,240c54,240,0,186,0,120c0,54,54,0,120,0c186,0,240,54,240,120e">
                <v:fill on="f" focussize="0,0"/>
                <v:stroke weight="0.05pt" color="#000000" joinstyle="bevel" endcap="square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pacing w:val="-1"/>
          <w:sz w:val="19"/>
          <w:szCs w:val="19"/>
          <w:highlight w:val="none"/>
        </w:rPr>
        <w:t xml:space="preserve">1  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服务人员密切配合采购人的要求，衔接委托单位和服务单位之间的各项服务工作，配合委托单位做好服务项目准备工作；</w:t>
      </w:r>
    </w:p>
    <w:p w14:paraId="61BF4593">
      <w:pPr>
        <w:spacing w:before="183" w:line="219" w:lineRule="auto"/>
        <w:ind w:left="58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118110</wp:posOffset>
                </wp:positionV>
                <wp:extent cx="153670" cy="153035"/>
                <wp:effectExtent l="4445" t="4445" r="13335" b="13970"/>
                <wp:wrapNone/>
                <wp:docPr id="9" name="任意多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2" h="241">
                              <a:moveTo>
                                <a:pt x="240" y="120"/>
                              </a:moveTo>
                              <a:cubicBezTo>
                                <a:pt x="240" y="186"/>
                                <a:pt x="186" y="240"/>
                                <a:pt x="120" y="240"/>
                              </a:cubicBezTo>
                              <a:cubicBezTo>
                                <a:pt x="54" y="240"/>
                                <a:pt x="0" y="186"/>
                                <a:pt x="0" y="120"/>
                              </a:cubicBezTo>
                              <a:cubicBezTo>
                                <a:pt x="0" y="54"/>
                                <a:pt x="54" y="0"/>
                                <a:pt x="120" y="0"/>
                              </a:cubicBezTo>
                              <a:cubicBezTo>
                                <a:pt x="186" y="0"/>
                                <a:pt x="240" y="54"/>
                                <a:pt x="240" y="120"/>
                              </a:cubicBezTo>
                            </a:path>
                          </a:pathLst>
                        </a:custGeom>
                        <a:noFill/>
                        <a:ln w="635" cap="sq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95pt;margin-top:9.3pt;height:12.05pt;width:12.1pt;z-index:251660288;mso-width-relative:page;mso-height-relative:page;" filled="f" stroked="t" coordsize="242,241" o:gfxdata="UEsDBAoAAAAAAIdO4kAAAAAAAAAAAAAAAAAEAAAAZHJzL1BLAwQUAAAACACHTuJACK0rhtQAAAAH&#10;AQAADwAAAGRycy9kb3ducmV2LnhtbE2Oy07DMBBF90j8gzVI7KiTUvUR4nSBqITEglJg78RDHGGP&#10;k9h9/T3TVVneh+495frknTjgGLtACvJJBgKpCaajVsHX5+ZhCSImTUa7QKjgjBHW1e1NqQsTjvSB&#10;h11qBY9QLLQCm1JfSBkbi17HSeiROPsJo9eJ5dhKM+ojj3snp1k2l153xA9W9/hssfnd7b0C3MrX&#10;bzm8DHYzuDOmxxrft29K3d/l2ROIhKd0LcMFn9GhYqY67MlE4RTMVitusr+cg+B8MctB1OxPFyCr&#10;Uv7nr/4AUEsDBBQAAAAIAIdO4kCcEKD4jgIAAOkFAAAOAAAAZHJzL2Uyb0RvYy54bWytVM2O0zAQ&#10;viPxDpbvbNpuW3arpitBWS4IVtrlAVzbSSz5D9tNW87cuXNEvARawdOwiMdg7KQ/KXvogRySGXvy&#10;zTff2DO9WiuJau68MDrH/bMeRlxTw4Quc/z+7vrZBUY+EM2INJrneMM9vpo9fTJd2QkfmMpIxh0C&#10;EO0nK5vjKgQ7yTJPK66IPzOWa9gsjFMkgOvKjDmyAnQls0GvN85WxjHrDOXew+q82cQtojsF0BSF&#10;oHxu6FJxHRpUxyUJUJKvhPV4ltgWBafhXVF4HpDMMVQa0huSgL2I72w2JZPSEVsJ2lIgp1A4qkkR&#10;oSHpDmpOAkFLJ/6BUoI6400RzqhRWVNIUgSq6PeOtLmtiOWpFpDa253o/v/B0rf1jUOC5fgSI00U&#10;NPzX/f3vT58fvn358/P7w4+v6DKKtLJ+ArG39sa1ngczVrwunIpfqAWtk7CbnbB8HRCFxf7ofPwc&#10;JKewBXbvfBQxs/3PdOnDa24SEKnf+ND0hW0tUm0tutZb05IQl2PyaKJVjgfDAUZV/PZTO5Sp+Z1J&#10;ESGyGwyBRSQxSK0HBvsIulwI+oJ/fDT+YtwcFZtg+uBGmAiXmLbLgHqwDOhdzK7X/DMaHv4ClaQE&#10;Lctu1mPqXbiudwgDKQ5ItgkfJb4VpYvV9dpSWwU6MFt1uwm3q3vNDwFBpNi8dBp2DU3K7U+ENtdC&#10;ylSD1LHNYzhAiBKYPv4DGMrC+fW6TC33RgoW42PXvSsXL6VDNYn3Pz3tyeuEWefDnPiqiUtbjWQL&#10;XvMmccUJe6UZChsLd0TDaMSRieIMI8lhkkYrUQxEyFMioUipoe54tZrLFK2FYRu4kUvrRFnBuOon&#10;vnEHJkBSqZ1WccQc+glpP6Fn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IrSuG1AAAAAcBAAAP&#10;AAAAAAAAAAEAIAAAACIAAABkcnMvZG93bnJldi54bWxQSwECFAAUAAAACACHTuJAnBCg+I4CAADp&#10;BQAADgAAAAAAAAABACAAAAAjAQAAZHJzL2Uyb0RvYy54bWxQSwUGAAAAAAYABgBZAQAAIwYAAAAA&#10;" path="m240,120c240,186,186,240,120,240c54,240,0,186,0,120c0,54,54,0,120,0c186,0,240,54,240,120e">
                <v:fill on="f" focussize="0,0"/>
                <v:stroke weight="0.05pt" color="#000000" joinstyle="bevel" endcap="square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z w:val="19"/>
          <w:szCs w:val="19"/>
          <w:highlight w:val="none"/>
        </w:rPr>
        <w:t xml:space="preserve">2  </w:t>
      </w:r>
      <w:r>
        <w:rPr>
          <w:rFonts w:ascii="宋体" w:hAnsi="宋体" w:eastAsia="宋体" w:cs="宋体"/>
          <w:sz w:val="24"/>
          <w:szCs w:val="24"/>
          <w:highlight w:val="none"/>
        </w:rPr>
        <w:t>助委托单位开展各类日常工作，主要工作内容以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委托单位安排为准。</w:t>
      </w:r>
    </w:p>
    <w:p w14:paraId="453A20CF">
      <w:pPr>
        <w:spacing w:before="183" w:line="219" w:lineRule="auto"/>
        <w:ind w:left="58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118110</wp:posOffset>
                </wp:positionV>
                <wp:extent cx="153670" cy="153035"/>
                <wp:effectExtent l="4445" t="4445" r="13335" b="13970"/>
                <wp:wrapNone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2" h="241">
                              <a:moveTo>
                                <a:pt x="240" y="120"/>
                              </a:moveTo>
                              <a:cubicBezTo>
                                <a:pt x="240" y="186"/>
                                <a:pt x="186" y="240"/>
                                <a:pt x="120" y="240"/>
                              </a:cubicBezTo>
                              <a:cubicBezTo>
                                <a:pt x="54" y="240"/>
                                <a:pt x="0" y="186"/>
                                <a:pt x="0" y="120"/>
                              </a:cubicBezTo>
                              <a:cubicBezTo>
                                <a:pt x="0" y="54"/>
                                <a:pt x="54" y="0"/>
                                <a:pt x="120" y="0"/>
                              </a:cubicBezTo>
                              <a:cubicBezTo>
                                <a:pt x="186" y="0"/>
                                <a:pt x="240" y="54"/>
                                <a:pt x="240" y="120"/>
                              </a:cubicBezTo>
                            </a:path>
                          </a:pathLst>
                        </a:custGeom>
                        <a:noFill/>
                        <a:ln w="635" cap="sq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95pt;margin-top:9.3pt;height:12.05pt;width:12.1pt;z-index:251661312;mso-width-relative:page;mso-height-relative:page;" filled="f" stroked="t" coordsize="242,241" o:gfxdata="UEsDBAoAAAAAAIdO4kAAAAAAAAAAAAAAAAAEAAAAZHJzL1BLAwQUAAAACACHTuJACK0rhtQAAAAH&#10;AQAADwAAAGRycy9kb3ducmV2LnhtbE2Oy07DMBBF90j8gzVI7KiTUvUR4nSBqITEglJg78RDHGGP&#10;k9h9/T3TVVneh+495frknTjgGLtACvJJBgKpCaajVsHX5+ZhCSImTUa7QKjgjBHW1e1NqQsTjvSB&#10;h11qBY9QLLQCm1JfSBkbi17HSeiROPsJo9eJ5dhKM+ojj3snp1k2l153xA9W9/hssfnd7b0C3MrX&#10;bzm8DHYzuDOmxxrft29K3d/l2ROIhKd0LcMFn9GhYqY67MlE4RTMVitusr+cg+B8MctB1OxPFyCr&#10;Uv7nr/4AUEsDBBQAAAAIAIdO4kDJFWjbjQIAAOkFAAAOAAAAZHJzL2Uyb0RvYy54bWytVM2O0zAQ&#10;viPxDpbvNE23P6uq6UpQlguClXZ5ANdxEkv+w3abljN37hwRL7FawdOwiMdg7KQ/KXvogRySGXvy&#10;zTff2DO72kiB1sw6rlWG014fI6aozrkqM/zh7vrFJUbOE5UToRXL8JY5fDV//mxWmykb6EqLnFkE&#10;IMpNa5PhynszTRJHKyaJ62nDFGwW2kriwbVlkltSA7oUyaDfHye1trmxmjLnYHXRbOIW0Z4DqIuC&#10;U7bQdCWZ8g2qZYJ4KMlV3Dg8j2yLglH/vigc80hkGCr18Q1JwF6GdzKfkWlpiak4bSmQcyic1CQJ&#10;V5B0D7UgnqCV5f9ASU6tdrrwPapl0hQSFYEq0v6JNrcVMSzWAlI7sxfd/T9Y+m59YxHPMzzBSBEJ&#10;Df/18PD785fH71///Lx//PENTYJItXFTiL01N7b1HJih4k1hZfhCLWgThd3uhWUbjygspqOL8QQk&#10;p7AFdv9iFDCTw8905fwbpiMQWb91vulLvrNItbPoRu1MQ3xYDsmDieoMD4YDjKrwTWM7pF6zOx0j&#10;fGA3GAKLQGIQWw8MDhF0teT0Jfv0ZPzluDkqJsKk4AaYABeZtsuAerQM6F3Mrtf8Mxoe/wKVxAQt&#10;y27WU+pduK53DAMpjki2CZ8kvhOli9X12lJbBTowO3W7CXerB82PAUGk0Lx4GvYNjcodToTS11yI&#10;WINQoc1jOECIEpg+7iMY0sD5daqMLXda8DzEh647Wy5fCYvWJNz/+LQnrxNmrPML4qomLm41ki3Z&#10;mjWJK0by1ypHfmvgjigYjTgwkSzHSDCYpMGKFD3h4pxIKFIoqDtcreYyBWup8y3cyJWxvKxgXKWR&#10;b9iBCRBVaqdVGDHHfkQ6TOj5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itK4bUAAAABwEAAA8A&#10;AAAAAAAAAQAgAAAAIgAAAGRycy9kb3ducmV2LnhtbFBLAQIUABQAAAAIAIdO4kDJFWjbjQIAAOkF&#10;AAAOAAAAAAAAAAEAIAAAACMBAABkcnMvZTJvRG9jLnhtbFBLBQYAAAAABgAGAFkBAAAiBgAAAAA=&#10;" path="m240,120c240,186,186,240,120,240c54,240,0,186,0,120c0,54,54,0,120,0c186,0,240,54,240,120e">
                <v:fill on="f" focussize="0,0"/>
                <v:stroke weight="0.05pt" color="#000000" joinstyle="bevel" endcap="square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pacing w:val="-2"/>
          <w:sz w:val="19"/>
          <w:szCs w:val="19"/>
          <w:highlight w:val="none"/>
        </w:rPr>
        <w:t>3</w:t>
      </w:r>
      <w:r>
        <w:rPr>
          <w:rFonts w:ascii="宋体" w:hAnsi="宋体" w:eastAsia="宋体" w:cs="宋体"/>
          <w:spacing w:val="13"/>
          <w:sz w:val="19"/>
          <w:szCs w:val="19"/>
          <w:highlight w:val="none"/>
        </w:rPr>
        <w:t xml:space="preserve">  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委托单位交办的其他工作。</w:t>
      </w:r>
    </w:p>
    <w:p w14:paraId="0C155F96">
      <w:pPr>
        <w:spacing w:before="183" w:line="219" w:lineRule="auto"/>
        <w:ind w:left="577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118110</wp:posOffset>
                </wp:positionV>
                <wp:extent cx="153670" cy="153035"/>
                <wp:effectExtent l="4445" t="4445" r="13335" b="13970"/>
                <wp:wrapNone/>
                <wp:docPr id="10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42" h="241">
                              <a:moveTo>
                                <a:pt x="240" y="120"/>
                              </a:moveTo>
                              <a:cubicBezTo>
                                <a:pt x="240" y="186"/>
                                <a:pt x="186" y="240"/>
                                <a:pt x="120" y="240"/>
                              </a:cubicBezTo>
                              <a:cubicBezTo>
                                <a:pt x="54" y="240"/>
                                <a:pt x="0" y="186"/>
                                <a:pt x="0" y="120"/>
                              </a:cubicBezTo>
                              <a:cubicBezTo>
                                <a:pt x="0" y="54"/>
                                <a:pt x="54" y="0"/>
                                <a:pt x="120" y="0"/>
                              </a:cubicBezTo>
                              <a:cubicBezTo>
                                <a:pt x="186" y="0"/>
                                <a:pt x="240" y="54"/>
                                <a:pt x="240" y="120"/>
                              </a:cubicBezTo>
                            </a:path>
                          </a:pathLst>
                        </a:custGeom>
                        <a:noFill/>
                        <a:ln w="635" cap="sq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95pt;margin-top:9.3pt;height:12.05pt;width:12.1pt;z-index:251659264;mso-width-relative:page;mso-height-relative:page;" filled="f" stroked="t" coordsize="242,241" o:gfxdata="UEsDBAoAAAAAAIdO4kAAAAAAAAAAAAAAAAAEAAAAZHJzL1BLAwQUAAAACACHTuJACK0rhtQAAAAH&#10;AQAADwAAAGRycy9kb3ducmV2LnhtbE2Oy07DMBBF90j8gzVI7KiTUvUR4nSBqITEglJg78RDHGGP&#10;k9h9/T3TVVneh+495frknTjgGLtACvJJBgKpCaajVsHX5+ZhCSImTUa7QKjgjBHW1e1NqQsTjvSB&#10;h11qBY9QLLQCm1JfSBkbi17HSeiROPsJo9eJ5dhKM+ojj3snp1k2l153xA9W9/hssfnd7b0C3MrX&#10;bzm8DHYzuDOmxxrft29K3d/l2ROIhKd0LcMFn9GhYqY67MlE4RTMVitusr+cg+B8MctB1OxPFyCr&#10;Uv7nr/4AUEsDBBQAAAAIAIdO4kCO3S2YjQIAAOsFAAAOAAAAZHJzL2Uyb0RvYy54bWytVM2O0zAQ&#10;viPxDpbvNE23Lauq6UpQlguClXZ5ANdxGkv+w3aTljN37hwRL4FW8DQs4jEYO0nblD30QA7J2J58&#10;880345lfbaVAFbOOa5XhdDDEiCmqc67WGX5/d/3sEiPnicqJ0IpleMccvlo8fTKvzYyNdKlFziwC&#10;EOVmtclw6b2ZJYmjJZPEDbRhCg4LbSXxsLTrJLekBnQpktFwOE1qbXNjNWXOwe6yOcQtoj0HUBcF&#10;p2yp6UYy5RtUywTxkJIruXF4EdkWBaP+XVE45pHIMGTq4xuCgL0K72QxJ7O1JabktKVAzqFwkpMk&#10;XEHQPdSSeII2lv8DJTm12unCD6iWSZNIVASySIcn2tyWxLCYC0jtzF509/9g6dvqxiKeQyeAJIpI&#10;qPiv+/vfnz4/fPvy5+f3hx9fEZyATLVxM/C+NTe2XTkwQ87bwsrwhWzQNkq720vLth5R2EwnF9Pn&#10;EIHCEdjDi0nATA4/043zr5mOQKR643xTmbyzSNlZdKs60xAftkPwYKI6w6PxCKMyfNNYEKkrdqej&#10;hw/sRmNgEUiMYlbA4OBBNytOX7CPj/pfTptmMREmhWWACXCRabsNqEfbgN7H7K+afybj418gkxig&#10;ZdmPekq9D9dfHcNAiCOSbcBHiXei9LH6qzbVVoEeTKduP2C3e9D8GBBECsWL3bAvaFTu0BFKX3Mh&#10;Yg5ChTJPoYEQJTB/3AcwpIEOdmodS+604HnwD1V3dr16KSyqSJgA8Wk7r+dmrPNL4srGLx41kq1Y&#10;xZrAJSP5K5UjvzNwSRQMRxyYSJZjJBjM0mBFip5wcY4nJCkU5B2uVnOZgrXS+Q7u5MZYvi5hYKWR&#10;bziBGRBVaudVGDLH64h0mNG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itK4bUAAAABwEAAA8A&#10;AAAAAAAAAQAgAAAAIgAAAGRycy9kb3ducmV2LnhtbFBLAQIUABQAAAAIAIdO4kCO3S2YjQIAAOsF&#10;AAAOAAAAAAAAAAEAIAAAACMBAABkcnMvZTJvRG9jLnhtbFBLBQYAAAAABgAGAFkBAAAiBgAAAAA=&#10;" path="m240,120c240,186,186,240,120,240c54,240,0,186,0,120c0,54,54,0,120,0c186,0,240,54,240,120e">
                <v:fill on="f" focussize="0,0"/>
                <v:stroke weight="0.05pt" color="#000000" joinstyle="bevel" endcap="square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pacing w:val="1"/>
          <w:sz w:val="19"/>
          <w:szCs w:val="19"/>
          <w:highlight w:val="none"/>
        </w:rPr>
        <w:t xml:space="preserve">4   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工作标准：按照相关法规、规范执行</w:t>
      </w:r>
    </w:p>
    <w:p w14:paraId="37B292DC">
      <w:pPr>
        <w:pStyle w:val="2"/>
        <w:spacing w:line="298" w:lineRule="auto"/>
        <w:rPr>
          <w:highlight w:val="none"/>
        </w:rPr>
      </w:pPr>
    </w:p>
    <w:p w14:paraId="6B97F5F8">
      <w:pPr>
        <w:pStyle w:val="2"/>
        <w:spacing w:line="298" w:lineRule="auto"/>
        <w:rPr>
          <w:highlight w:val="none"/>
        </w:rPr>
      </w:pPr>
    </w:p>
    <w:p w14:paraId="56EE1FA3">
      <w:pPr>
        <w:spacing w:before="98" w:line="218" w:lineRule="auto"/>
        <w:ind w:left="863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第二条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合同价款及付款方式</w:t>
      </w:r>
    </w:p>
    <w:p w14:paraId="22AEF5C4">
      <w:pPr>
        <w:pStyle w:val="2"/>
        <w:spacing w:line="270" w:lineRule="auto"/>
        <w:rPr>
          <w:highlight w:val="none"/>
        </w:rPr>
      </w:pPr>
    </w:p>
    <w:p w14:paraId="159B2757">
      <w:pPr>
        <w:spacing w:before="79" w:line="218" w:lineRule="auto"/>
        <w:ind w:left="52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1、合同价款</w:t>
      </w:r>
    </w:p>
    <w:p w14:paraId="6E471328">
      <w:pPr>
        <w:spacing w:before="278" w:line="218" w:lineRule="auto"/>
        <w:ind w:left="51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（1）合同总价款为人民币（大写）</w:t>
      </w:r>
      <w:r>
        <w:rPr>
          <w:rFonts w:ascii="宋体" w:hAnsi="宋体" w:eastAsia="宋体" w:cs="宋体"/>
          <w:spacing w:val="-3"/>
          <w:sz w:val="24"/>
          <w:szCs w:val="24"/>
          <w:highlight w:val="none"/>
          <w:u w:val="single" w:color="auto"/>
        </w:rPr>
        <w:t xml:space="preserve">         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(￥</w:t>
      </w:r>
      <w:r>
        <w:rPr>
          <w:rFonts w:ascii="宋体" w:hAnsi="宋体" w:eastAsia="宋体" w:cs="宋体"/>
          <w:spacing w:val="-9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  <w:u w:val="single" w:color="auto"/>
        </w:rPr>
        <w:t xml:space="preserve">       </w:t>
      </w:r>
      <w:r>
        <w:rPr>
          <w:rFonts w:ascii="宋体" w:hAnsi="宋体" w:eastAsia="宋体" w:cs="宋体"/>
          <w:spacing w:val="-85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)</w:t>
      </w:r>
      <w:r>
        <w:rPr>
          <w:rFonts w:ascii="宋体" w:hAnsi="宋体" w:eastAsia="宋体" w:cs="宋体"/>
          <w:spacing w:val="1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。</w:t>
      </w:r>
    </w:p>
    <w:p w14:paraId="27F399F9">
      <w:pPr>
        <w:spacing w:before="246" w:line="308" w:lineRule="auto"/>
        <w:ind w:left="450" w:right="572" w:firstLine="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（2）合同总价包括：本协议所述服务计价标准，服务项目均为单次或单天计价，协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议总价按所产生总额计算。</w:t>
      </w:r>
    </w:p>
    <w:p w14:paraId="5EE608E3">
      <w:pPr>
        <w:spacing w:before="237" w:line="218" w:lineRule="auto"/>
        <w:ind w:left="51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（3）合同单价包括：实施费用、人工费用税金及其它相关的费用。</w:t>
      </w:r>
    </w:p>
    <w:p w14:paraId="1121D5E2">
      <w:pPr>
        <w:spacing w:before="269" w:line="218" w:lineRule="auto"/>
        <w:ind w:left="51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（4）合同价格一次性包死，不受市场价格变化因素的影响。</w:t>
      </w:r>
    </w:p>
    <w:p w14:paraId="2A96BF99">
      <w:pPr>
        <w:spacing w:before="276" w:line="219" w:lineRule="auto"/>
        <w:ind w:left="51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2、款项结算</w:t>
      </w:r>
    </w:p>
    <w:p w14:paraId="5D7C9864">
      <w:pPr>
        <w:spacing w:line="219" w:lineRule="auto"/>
        <w:rPr>
          <w:rFonts w:ascii="宋体" w:hAnsi="宋体" w:eastAsia="宋体" w:cs="宋体"/>
          <w:sz w:val="24"/>
          <w:szCs w:val="24"/>
          <w:highlight w:val="none"/>
        </w:rPr>
        <w:sectPr>
          <w:footerReference r:id="rId3" w:type="default"/>
          <w:pgSz w:w="11906" w:h="16839"/>
          <w:pgMar w:top="1416" w:right="845" w:bottom="1199" w:left="1397" w:header="0" w:footer="1027" w:gutter="0"/>
          <w:cols w:space="720" w:num="1"/>
        </w:sectPr>
      </w:pPr>
    </w:p>
    <w:p w14:paraId="19BC37B9">
      <w:pPr>
        <w:spacing w:before="232" w:line="310" w:lineRule="auto"/>
        <w:ind w:left="29" w:firstLine="462"/>
        <w:rPr>
          <w:rFonts w:ascii="宋体" w:hAnsi="宋体" w:eastAsia="宋体" w:cs="宋体"/>
          <w:spacing w:val="1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（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1）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项目结束后甲方收到乙方开具的增值税发票后，30日内一次性支付合同总额100%</w:t>
      </w:r>
      <w:r>
        <w:rPr>
          <w:rFonts w:ascii="宋体" w:hAnsi="宋体" w:eastAsia="宋体" w:cs="宋体"/>
          <w:sz w:val="24"/>
          <w:szCs w:val="24"/>
          <w:highlight w:val="none"/>
        </w:rPr>
        <w:t>。</w:t>
      </w:r>
    </w:p>
    <w:p w14:paraId="4E9ADF66">
      <w:pPr>
        <w:spacing w:before="232" w:line="310" w:lineRule="auto"/>
        <w:ind w:left="29" w:firstLine="46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（2）本协议服务期间每季度末提供服务汇总报表，如合同期满时未全部履行合同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内容的，具体结算以实际服务次数为准（提供服务任务联系单）。</w:t>
      </w:r>
    </w:p>
    <w:p w14:paraId="061D64BF">
      <w:pPr>
        <w:spacing w:before="268" w:line="219" w:lineRule="auto"/>
        <w:ind w:left="484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3、结算方式：银行转账。</w:t>
      </w:r>
    </w:p>
    <w:p w14:paraId="3D8B36BE">
      <w:pPr>
        <w:spacing w:before="274" w:line="219" w:lineRule="auto"/>
        <w:ind w:left="47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4、付款账户信息</w:t>
      </w:r>
    </w:p>
    <w:p w14:paraId="1809074C">
      <w:pPr>
        <w:spacing w:before="276" w:line="220" w:lineRule="auto"/>
        <w:ind w:left="37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（1）开户名称：</w:t>
      </w:r>
    </w:p>
    <w:p w14:paraId="2E01303E">
      <w:pPr>
        <w:spacing w:before="273" w:line="220" w:lineRule="auto"/>
        <w:ind w:left="37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（2）开户银行：</w:t>
      </w:r>
    </w:p>
    <w:p w14:paraId="639CD8D3">
      <w:pPr>
        <w:spacing w:before="273" w:line="220" w:lineRule="auto"/>
        <w:ind w:left="37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（3）银行账号：</w:t>
      </w:r>
    </w:p>
    <w:p w14:paraId="105EDD71">
      <w:pPr>
        <w:pStyle w:val="2"/>
        <w:spacing w:line="259" w:lineRule="auto"/>
        <w:rPr>
          <w:highlight w:val="none"/>
        </w:rPr>
      </w:pPr>
    </w:p>
    <w:p w14:paraId="3079EC23">
      <w:pPr>
        <w:spacing w:before="98" w:line="219" w:lineRule="auto"/>
        <w:ind w:left="2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第三条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实施地点与服务期限</w:t>
      </w:r>
    </w:p>
    <w:p w14:paraId="44D833BF">
      <w:pPr>
        <w:pStyle w:val="2"/>
        <w:spacing w:line="428" w:lineRule="auto"/>
        <w:rPr>
          <w:highlight w:val="none"/>
        </w:rPr>
      </w:pPr>
    </w:p>
    <w:p w14:paraId="6C0DA843">
      <w:pPr>
        <w:spacing w:before="79" w:line="220" w:lineRule="auto"/>
        <w:ind w:left="49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（一）实施地点：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val="en-US" w:eastAsia="zh-CN"/>
        </w:rPr>
        <w:t>采购人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指定地点。</w:t>
      </w:r>
    </w:p>
    <w:p w14:paraId="6D19E975">
      <w:pPr>
        <w:spacing w:before="273" w:line="219" w:lineRule="auto"/>
        <w:ind w:left="49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（二）服务期：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自合同签订之日起一年内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。</w:t>
      </w:r>
    </w:p>
    <w:p w14:paraId="48130347">
      <w:pPr>
        <w:pStyle w:val="2"/>
        <w:spacing w:line="260" w:lineRule="auto"/>
        <w:rPr>
          <w:highlight w:val="none"/>
        </w:rPr>
      </w:pPr>
    </w:p>
    <w:p w14:paraId="26895B53">
      <w:pPr>
        <w:spacing w:before="98" w:line="219" w:lineRule="auto"/>
        <w:ind w:left="2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第四条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违约责任</w:t>
      </w:r>
    </w:p>
    <w:p w14:paraId="68B08938">
      <w:pPr>
        <w:pStyle w:val="2"/>
        <w:spacing w:line="429" w:lineRule="auto"/>
        <w:rPr>
          <w:highlight w:val="none"/>
        </w:rPr>
      </w:pPr>
    </w:p>
    <w:p w14:paraId="5BC7A40A">
      <w:pPr>
        <w:spacing w:before="79" w:line="360" w:lineRule="auto"/>
        <w:ind w:firstLine="497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1、因乙方原因造成项目成果质量问题的，乙方除负责及时采取有效补救措施外，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应免收受损失部分的合同价款，并支付合同价款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0.5%的违约金。给甲方造成损失的，还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应承担全部损失赔偿责任；</w:t>
      </w:r>
    </w:p>
    <w:p w14:paraId="7EA9E59A">
      <w:pPr>
        <w:spacing w:before="276" w:line="360" w:lineRule="auto"/>
        <w:ind w:left="3" w:firstLine="47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2、乙方未按合同约定的进度要求提交成果时，每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逾期一天，甲方有权扣除乙方合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同价款每日0.5‰的逾期违约金，逾期</w:t>
      </w:r>
      <w:r>
        <w:rPr>
          <w:rFonts w:ascii="宋体" w:hAnsi="宋体" w:eastAsia="宋体" w:cs="宋体"/>
          <w:spacing w:val="-17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10</w:t>
      </w:r>
      <w:r>
        <w:rPr>
          <w:rFonts w:ascii="宋体" w:hAnsi="宋体" w:eastAsia="宋体" w:cs="宋体"/>
          <w:spacing w:val="-4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天以上的，甲方有权单方解除合同并不承担任</w:t>
      </w:r>
      <w:r>
        <w:rPr>
          <w:rFonts w:ascii="宋体" w:hAnsi="宋体" w:eastAsia="宋体" w:cs="宋体"/>
          <w:sz w:val="24"/>
          <w:szCs w:val="24"/>
          <w:highlight w:val="none"/>
        </w:rPr>
        <w:t>何责任；如因甲方原因或者相关企业原因造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成的延期，由甲乙双方协商解决。</w:t>
      </w:r>
    </w:p>
    <w:p w14:paraId="65616F76">
      <w:pPr>
        <w:spacing w:before="276" w:line="360" w:lineRule="auto"/>
        <w:ind w:firstLine="48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3、合同生效后，乙方提供的合同约定的未通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过相关评审、不符合要求的，或未按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要求提供足额合法合规发票的，甲方有权拒绝付款并不承担违约责任。任何一方不得擅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自终止合同，否则须向对方支付合同总费用</w:t>
      </w:r>
      <w:r>
        <w:rPr>
          <w:rFonts w:ascii="宋体" w:hAnsi="宋体" w:eastAsia="宋体" w:cs="宋体"/>
          <w:spacing w:val="-45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30%的违约金。</w:t>
      </w:r>
    </w:p>
    <w:p w14:paraId="6D6326DC">
      <w:pPr>
        <w:pStyle w:val="2"/>
        <w:spacing w:line="258" w:lineRule="auto"/>
        <w:rPr>
          <w:highlight w:val="none"/>
        </w:rPr>
      </w:pPr>
    </w:p>
    <w:p w14:paraId="1D27FE5A">
      <w:pPr>
        <w:spacing w:before="98" w:line="219" w:lineRule="auto"/>
        <w:ind w:left="2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第五条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质量保证</w:t>
      </w:r>
    </w:p>
    <w:p w14:paraId="6FBCA532">
      <w:pPr>
        <w:pStyle w:val="2"/>
        <w:spacing w:line="429" w:lineRule="auto"/>
        <w:rPr>
          <w:highlight w:val="none"/>
        </w:rPr>
      </w:pPr>
    </w:p>
    <w:p w14:paraId="2E9E9FEF">
      <w:pPr>
        <w:spacing w:before="78" w:line="360" w:lineRule="auto"/>
        <w:ind w:left="18"/>
        <w:rPr>
          <w:rFonts w:ascii="宋体" w:hAnsi="宋体" w:eastAsia="宋体" w:cs="宋体"/>
          <w:spacing w:val="-2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乙方向甲方提供的服务内容、服务过程、工作成果必须满足甲方要求，满足国家和省市的有关标准规范和要求。</w:t>
      </w:r>
    </w:p>
    <w:p w14:paraId="65494F33">
      <w:pPr>
        <w:pStyle w:val="2"/>
        <w:spacing w:line="258" w:lineRule="auto"/>
        <w:rPr>
          <w:highlight w:val="none"/>
        </w:rPr>
      </w:pPr>
    </w:p>
    <w:p w14:paraId="72593203">
      <w:pPr>
        <w:spacing w:before="97" w:line="219" w:lineRule="auto"/>
        <w:ind w:left="3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第六条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双方权利义务</w:t>
      </w:r>
    </w:p>
    <w:p w14:paraId="51A4855D">
      <w:pPr>
        <w:pStyle w:val="2"/>
        <w:spacing w:line="429" w:lineRule="auto"/>
        <w:rPr>
          <w:highlight w:val="none"/>
        </w:rPr>
      </w:pPr>
    </w:p>
    <w:p w14:paraId="5373E5F0">
      <w:pPr>
        <w:spacing w:before="78" w:line="219" w:lineRule="auto"/>
        <w:ind w:left="18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1、</w:t>
      </w:r>
      <w:r>
        <w:rPr>
          <w:rFonts w:ascii="宋体" w:hAnsi="宋体" w:eastAsia="宋体" w:cs="宋体"/>
          <w:spacing w:val="-3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甲方组织协调管辖区内各公司负责人配合乙方开展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技术服务工作。</w:t>
      </w:r>
    </w:p>
    <w:p w14:paraId="26C3A86C">
      <w:pPr>
        <w:spacing w:before="275" w:line="218" w:lineRule="auto"/>
        <w:ind w:left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2、</w:t>
      </w:r>
      <w:r>
        <w:rPr>
          <w:rFonts w:ascii="宋体" w:hAnsi="宋体" w:eastAsia="宋体" w:cs="宋体"/>
          <w:spacing w:val="-3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甲方按本合同约定向乙方支付价款。</w:t>
      </w:r>
    </w:p>
    <w:p w14:paraId="2C07DD5E">
      <w:pPr>
        <w:spacing w:before="277" w:line="325" w:lineRule="auto"/>
        <w:ind w:left="410" w:right="61" w:hanging="40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3、</w:t>
      </w:r>
      <w:r>
        <w:rPr>
          <w:rFonts w:ascii="宋体" w:hAnsi="宋体" w:eastAsia="宋体" w:cs="宋体"/>
          <w:spacing w:val="-2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乙方提供的服务应当符合国家有关法律法规、行业标准、行政主管部门的要求，指派的工作人员应当具有履行本项目的资格、经验和能力。</w:t>
      </w:r>
    </w:p>
    <w:p w14:paraId="181B8906">
      <w:pPr>
        <w:spacing w:before="275" w:line="324" w:lineRule="auto"/>
        <w:ind w:left="409" w:right="61" w:hanging="40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4、</w:t>
      </w:r>
      <w:r>
        <w:rPr>
          <w:rFonts w:ascii="宋体" w:hAnsi="宋体" w:eastAsia="宋体" w:cs="宋体"/>
          <w:spacing w:val="-39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乙方所提供的服务应与采购文件规定的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要求相一致；应在甲方要求的时间内完成工作内容并向甲方提交完整的书面报告。</w:t>
      </w:r>
    </w:p>
    <w:p w14:paraId="72402D97">
      <w:pPr>
        <w:pStyle w:val="2"/>
        <w:spacing w:line="262" w:lineRule="auto"/>
        <w:rPr>
          <w:highlight w:val="none"/>
        </w:rPr>
      </w:pPr>
    </w:p>
    <w:p w14:paraId="2454E066">
      <w:pPr>
        <w:spacing w:before="98" w:line="219" w:lineRule="auto"/>
        <w:ind w:left="3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第七条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保密责任</w:t>
      </w:r>
    </w:p>
    <w:p w14:paraId="7FD6D646">
      <w:pPr>
        <w:pStyle w:val="2"/>
        <w:spacing w:line="429" w:lineRule="auto"/>
        <w:rPr>
          <w:highlight w:val="none"/>
        </w:rPr>
      </w:pPr>
    </w:p>
    <w:p w14:paraId="64CDD083">
      <w:pPr>
        <w:spacing w:before="79" w:line="360" w:lineRule="auto"/>
        <w:ind w:left="2" w:firstLine="49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1、甲、乙双方均应遵守《中华人民共和国保守国家秘密法》和其它相关规定，妥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善保管对方提供的资料，保守对方的各项秘密，并保护对方的知识产权；未经</w:t>
      </w:r>
      <w:r>
        <w:rPr>
          <w:rFonts w:ascii="宋体" w:hAnsi="宋体" w:eastAsia="宋体" w:cs="宋体"/>
          <w:spacing w:val="-7"/>
          <w:sz w:val="24"/>
          <w:szCs w:val="24"/>
          <w:highlight w:val="none"/>
        </w:rPr>
        <w:t>对方许可，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不得利用知悉的对方资料和成果为自己或第三方谋取利益；</w:t>
      </w:r>
    </w:p>
    <w:p w14:paraId="65A9208B">
      <w:pPr>
        <w:spacing w:before="274" w:line="326" w:lineRule="auto"/>
        <w:ind w:left="24" w:right="61" w:firstLine="45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2、未经对方许可，任何一方均不得将对方的资料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或成果向第三方转让或用于本合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同外的其它项目；</w:t>
      </w:r>
    </w:p>
    <w:p w14:paraId="27B08232">
      <w:pPr>
        <w:spacing w:before="271" w:line="361" w:lineRule="auto"/>
        <w:ind w:right="61" w:firstLine="485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3、乙方须以保密方式处理双方直接或间接提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供的任何资料，以及因本项目研究工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作所直接或间接取得、处理或接触的任何其它资料。未经甲方同意，不得向第三方透露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任何有关项目的内容，或公开任何项目中间成果或最终成果。</w:t>
      </w:r>
    </w:p>
    <w:p w14:paraId="6AC136AD">
      <w:pPr>
        <w:spacing w:before="276" w:line="325" w:lineRule="auto"/>
        <w:ind w:left="2" w:right="61" w:firstLine="477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4、违约责任：若违反上述保密条款，甲方有权追究其法律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责任，并赔偿对甲方造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成的相应损失。</w:t>
      </w:r>
    </w:p>
    <w:p w14:paraId="7856A8E2">
      <w:pPr>
        <w:pStyle w:val="2"/>
        <w:spacing w:line="256" w:lineRule="auto"/>
        <w:rPr>
          <w:highlight w:val="none"/>
        </w:rPr>
      </w:pPr>
    </w:p>
    <w:p w14:paraId="67B6F5B4">
      <w:pPr>
        <w:spacing w:before="98" w:line="219" w:lineRule="auto"/>
        <w:ind w:left="3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第八条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成果权属</w:t>
      </w:r>
    </w:p>
    <w:p w14:paraId="51D2E02E">
      <w:pPr>
        <w:pStyle w:val="2"/>
        <w:spacing w:line="430" w:lineRule="auto"/>
        <w:rPr>
          <w:highlight w:val="none"/>
        </w:rPr>
      </w:pPr>
    </w:p>
    <w:p w14:paraId="46676302">
      <w:pPr>
        <w:spacing w:before="78" w:line="432" w:lineRule="auto"/>
        <w:ind w:right="61" w:firstLine="498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1、本合同项目成果归甲方所有，乙方享有署名权和乙方独有成果的知识与技术产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权，并享有获得本合同项目成果的相关荣誉和奖励的权利；</w:t>
      </w:r>
    </w:p>
    <w:p w14:paraId="39915600">
      <w:pPr>
        <w:spacing w:line="432" w:lineRule="auto"/>
        <w:rPr>
          <w:rFonts w:ascii="宋体" w:hAnsi="宋体" w:eastAsia="宋体" w:cs="宋体"/>
          <w:sz w:val="24"/>
          <w:szCs w:val="24"/>
          <w:highlight w:val="none"/>
        </w:rPr>
        <w:sectPr>
          <w:footerReference r:id="rId4" w:type="default"/>
          <w:pgSz w:w="11906" w:h="16839"/>
          <w:pgMar w:top="1431" w:right="1356" w:bottom="1199" w:left="1424" w:header="0" w:footer="1027" w:gutter="0"/>
          <w:cols w:space="720" w:num="1"/>
        </w:sectPr>
      </w:pPr>
    </w:p>
    <w:p w14:paraId="7D588678">
      <w:pPr>
        <w:spacing w:before="227" w:line="219" w:lineRule="auto"/>
        <w:ind w:left="484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2、乙方享有使用本合同项目成果用于学术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研究、发表论文和著作的权利。</w:t>
      </w:r>
    </w:p>
    <w:p w14:paraId="7E47D7C3">
      <w:pPr>
        <w:spacing w:before="274" w:line="326" w:lineRule="auto"/>
        <w:ind w:left="25" w:right="117" w:firstLine="46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3、甲方根据需要可自行决定成果的使用并进行修改，但成果署名不得包括乙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方，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乙方不对修改后的成果进行技术确认和承担技术责任。</w:t>
      </w:r>
    </w:p>
    <w:p w14:paraId="2A40C2FE">
      <w:pPr>
        <w:pStyle w:val="2"/>
        <w:spacing w:line="258" w:lineRule="auto"/>
        <w:rPr>
          <w:highlight w:val="none"/>
        </w:rPr>
      </w:pPr>
    </w:p>
    <w:p w14:paraId="44E75F84">
      <w:pPr>
        <w:spacing w:before="97" w:line="219" w:lineRule="auto"/>
        <w:ind w:left="4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第九条</w:t>
      </w:r>
      <w:r>
        <w:rPr>
          <w:rFonts w:ascii="宋体" w:hAnsi="宋体" w:eastAsia="宋体" w:cs="宋体"/>
          <w:spacing w:val="-3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30"/>
          <w:szCs w:val="30"/>
          <w:highlight w:val="none"/>
        </w:rPr>
        <w:t>合同争议的解决方式</w:t>
      </w:r>
    </w:p>
    <w:p w14:paraId="3BDEE311">
      <w:pPr>
        <w:pStyle w:val="2"/>
        <w:spacing w:line="429" w:lineRule="auto"/>
        <w:rPr>
          <w:highlight w:val="none"/>
        </w:rPr>
      </w:pPr>
    </w:p>
    <w:p w14:paraId="1CF66AA7">
      <w:pPr>
        <w:spacing w:before="78" w:line="434" w:lineRule="auto"/>
        <w:ind w:left="2" w:right="58" w:firstLine="48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本合同履行期间发生争议的，由甲、乙双方协商解决；协商不成的，双方均可向甲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方住所地人民法院起诉。</w:t>
      </w:r>
    </w:p>
    <w:p w14:paraId="3CA3A86D">
      <w:pPr>
        <w:spacing w:before="74" w:line="219" w:lineRule="auto"/>
        <w:ind w:left="4"/>
        <w:outlineLvl w:val="0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8"/>
          <w:sz w:val="30"/>
          <w:szCs w:val="30"/>
          <w:highlight w:val="none"/>
        </w:rPr>
        <w:t>第十条</w:t>
      </w:r>
      <w:r>
        <w:rPr>
          <w:rFonts w:ascii="宋体" w:hAnsi="宋体" w:eastAsia="宋体" w:cs="宋体"/>
          <w:spacing w:val="4"/>
          <w:sz w:val="30"/>
          <w:szCs w:val="30"/>
          <w:highlight w:val="none"/>
        </w:rPr>
        <w:t xml:space="preserve">    </w:t>
      </w:r>
      <w:r>
        <w:rPr>
          <w:rFonts w:ascii="宋体" w:hAnsi="宋体" w:eastAsia="宋体" w:cs="宋体"/>
          <w:b/>
          <w:bCs/>
          <w:spacing w:val="-8"/>
          <w:sz w:val="30"/>
          <w:szCs w:val="30"/>
          <w:highlight w:val="none"/>
        </w:rPr>
        <w:t>其它</w:t>
      </w:r>
    </w:p>
    <w:p w14:paraId="31E4CBBF">
      <w:pPr>
        <w:pStyle w:val="2"/>
        <w:spacing w:line="431" w:lineRule="auto"/>
        <w:rPr>
          <w:highlight w:val="none"/>
        </w:rPr>
      </w:pPr>
    </w:p>
    <w:p w14:paraId="3C0BE559">
      <w:pPr>
        <w:spacing w:before="79" w:line="388" w:lineRule="auto"/>
        <w:ind w:right="58" w:firstLine="49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1、本合同的附件与本合同具有同等法律效力，甲、乙双方认可来往的电子邮件、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传真、电报、会议纪要等，均为合同的组成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部分，与本合同具有同等法律效力；双方任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何一方在本合同约定的交付时间内，按照本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合同所载地址，以特快专递、挂号信件或电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子邮件送达项目信息或交付设计文件、送达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往来函件及法律文件等，接收方应在收到后10 日内给予书面回复，接收方如未在上述时间内书面回复则表示默认收到。</w:t>
      </w:r>
    </w:p>
    <w:p w14:paraId="1453973D">
      <w:pPr>
        <w:spacing w:before="277" w:line="360" w:lineRule="auto"/>
        <w:ind w:left="1" w:right="58" w:firstLine="36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2、由于不可抗力（包括因战争、动乱或其它非甲、乙方责任造成的爆炸、火灾及其它不能预见、不能避免并不能克服的客观情况）致使合同无法履行时，双方应按有关法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律规定及时协商解决；</w:t>
      </w:r>
    </w:p>
    <w:p w14:paraId="114A68D5">
      <w:pPr>
        <w:spacing w:before="274" w:line="219" w:lineRule="auto"/>
        <w:jc w:val="right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3、本合同未尽事宜，双方协商签订补充协议，</w:t>
      </w:r>
      <w:r>
        <w:rPr>
          <w:rFonts w:ascii="宋体" w:hAnsi="宋体" w:eastAsia="宋体" w:cs="宋体"/>
          <w:spacing w:val="-7"/>
          <w:sz w:val="24"/>
          <w:szCs w:val="24"/>
          <w:highlight w:val="none"/>
        </w:rPr>
        <w:t>补充协议与本合同具有同等法律效力；</w:t>
      </w:r>
    </w:p>
    <w:p w14:paraId="7764B183">
      <w:pPr>
        <w:spacing w:before="277" w:line="219" w:lineRule="auto"/>
        <w:ind w:left="36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4、本合同自双方签订之日起生效，甲、乙双方履行完合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同约定内容后即终止。</w:t>
      </w:r>
    </w:p>
    <w:p w14:paraId="4F2F54FC">
      <w:pPr>
        <w:spacing w:before="274" w:line="219" w:lineRule="auto"/>
        <w:ind w:left="366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5、本合同一式</w:t>
      </w:r>
      <w:r>
        <w:rPr>
          <w:rFonts w:ascii="宋体" w:hAnsi="宋体" w:eastAsia="宋体" w:cs="宋体"/>
          <w:spacing w:val="-2"/>
          <w:sz w:val="24"/>
          <w:szCs w:val="24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spacing w:val="-9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份，甲方执</w:t>
      </w:r>
      <w:r>
        <w:rPr>
          <w:rFonts w:ascii="宋体" w:hAnsi="宋体" w:eastAsia="宋体" w:cs="宋体"/>
          <w:spacing w:val="-2"/>
          <w:sz w:val="24"/>
          <w:szCs w:val="24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spacing w:val="-111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份、乙方执</w:t>
      </w:r>
      <w:r>
        <w:rPr>
          <w:rFonts w:ascii="宋体" w:hAnsi="宋体" w:eastAsia="宋体" w:cs="宋体"/>
          <w:spacing w:val="-2"/>
          <w:sz w:val="24"/>
          <w:szCs w:val="24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spacing w:val="-111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份。</w:t>
      </w:r>
    </w:p>
    <w:p w14:paraId="6ED875E2">
      <w:pPr>
        <w:spacing w:line="219" w:lineRule="auto"/>
        <w:rPr>
          <w:rFonts w:ascii="宋体" w:hAnsi="宋体" w:eastAsia="宋体" w:cs="宋体"/>
          <w:sz w:val="24"/>
          <w:szCs w:val="24"/>
          <w:highlight w:val="none"/>
        </w:rPr>
        <w:sectPr>
          <w:footerReference r:id="rId5" w:type="default"/>
          <w:pgSz w:w="11906" w:h="16839"/>
          <w:pgMar w:top="1431" w:right="1359" w:bottom="1199" w:left="1423" w:header="0" w:footer="1027" w:gutter="0"/>
          <w:cols w:space="720" w:num="1"/>
        </w:sectPr>
      </w:pPr>
    </w:p>
    <w:p w14:paraId="1FCA3704">
      <w:pPr>
        <w:spacing w:before="98" w:line="221" w:lineRule="auto"/>
        <w:rPr>
          <w:rFonts w:ascii="宋体" w:hAnsi="宋体" w:eastAsia="宋体" w:cs="宋体"/>
          <w:sz w:val="30"/>
          <w:szCs w:val="30"/>
          <w:highlight w:val="none"/>
        </w:rPr>
      </w:pPr>
      <w:r>
        <w:rPr>
          <w:rFonts w:ascii="宋体" w:hAnsi="宋体" w:eastAsia="宋体" w:cs="宋体"/>
          <w:b/>
          <w:bCs/>
          <w:spacing w:val="-7"/>
          <w:sz w:val="30"/>
          <w:szCs w:val="30"/>
          <w:highlight w:val="none"/>
        </w:rPr>
        <w:t>签署页</w:t>
      </w:r>
    </w:p>
    <w:p w14:paraId="0D5A03F5">
      <w:pPr>
        <w:pStyle w:val="2"/>
        <w:spacing w:line="356" w:lineRule="auto"/>
        <w:rPr>
          <w:highlight w:val="none"/>
        </w:rPr>
      </w:pPr>
    </w:p>
    <w:p w14:paraId="53A88E76">
      <w:pPr>
        <w:spacing w:before="78" w:line="219" w:lineRule="auto"/>
        <w:ind w:left="124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  <w:highlight w:val="none"/>
        </w:rPr>
        <w:t>甲</w:t>
      </w:r>
      <w:r>
        <w:rPr>
          <w:rFonts w:ascii="宋体" w:hAnsi="宋体" w:eastAsia="宋体" w:cs="宋体"/>
          <w:spacing w:val="-8"/>
          <w:sz w:val="24"/>
          <w:szCs w:val="24"/>
          <w:highlight w:val="none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4"/>
          <w:szCs w:val="24"/>
          <w:highlight w:val="none"/>
        </w:rPr>
        <w:t>方（盖章）</w:t>
      </w: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 xml:space="preserve">                     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4"/>
          <w:szCs w:val="24"/>
          <w:highlight w:val="none"/>
        </w:rPr>
        <w:t>乙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4"/>
          <w:szCs w:val="24"/>
          <w:highlight w:val="none"/>
        </w:rPr>
        <w:t>方（盖章）</w:t>
      </w:r>
    </w:p>
    <w:p w14:paraId="7487A231">
      <w:pPr>
        <w:spacing w:before="243" w:line="229" w:lineRule="auto"/>
        <w:ind w:left="9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地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  </w:t>
      </w: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址</w:t>
      </w:r>
      <w:r>
        <w:rPr>
          <w:rFonts w:ascii="宋体" w:hAnsi="宋体" w:eastAsia="宋体" w:cs="宋体"/>
          <w:spacing w:val="-90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：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                   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spacing w:val="2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地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   </w:t>
      </w:r>
      <w:r>
        <w:rPr>
          <w:rFonts w:ascii="宋体" w:hAnsi="宋体" w:eastAsia="宋体" w:cs="宋体"/>
          <w:spacing w:val="-12"/>
          <w:sz w:val="24"/>
          <w:szCs w:val="24"/>
          <w:highlight w:val="none"/>
        </w:rPr>
        <w:t>址：</w:t>
      </w:r>
    </w:p>
    <w:p w14:paraId="4D5FFE9B">
      <w:pPr>
        <w:spacing w:before="42"/>
        <w:rPr>
          <w:highlight w:val="none"/>
        </w:rPr>
      </w:pPr>
    </w:p>
    <w:p w14:paraId="79590AA1">
      <w:pPr>
        <w:spacing w:before="41"/>
        <w:rPr>
          <w:highlight w:val="none"/>
        </w:rPr>
      </w:pPr>
    </w:p>
    <w:p w14:paraId="73537009">
      <w:pPr>
        <w:spacing w:before="47"/>
        <w:ind w:right="412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>法定代表人或委托代理人</w:t>
      </w:r>
      <w:r>
        <w:rPr>
          <w:rFonts w:ascii="宋体" w:hAnsi="宋体" w:eastAsia="宋体" w:cs="宋体"/>
          <w:spacing w:val="-13"/>
          <w:sz w:val="24"/>
          <w:szCs w:val="24"/>
          <w:highlight w:val="none"/>
        </w:rPr>
        <w:t>：（</w:t>
      </w: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>签字或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盖章）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法定代表人或委托代理人</w:t>
      </w:r>
      <w:r>
        <w:rPr>
          <w:rFonts w:ascii="宋体" w:hAnsi="宋体" w:eastAsia="宋体" w:cs="宋体"/>
          <w:spacing w:val="-37"/>
          <w:sz w:val="24"/>
          <w:szCs w:val="24"/>
          <w:highlight w:val="none"/>
        </w:rPr>
        <w:t>：（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>签字或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盖章）</w:t>
      </w:r>
    </w:p>
    <w:p w14:paraId="43F59FFF">
      <w:pPr>
        <w:pStyle w:val="2"/>
        <w:spacing w:line="251" w:lineRule="auto"/>
        <w:rPr>
          <w:rFonts w:hint="eastAsia" w:eastAsia="宋体"/>
          <w:highlight w:val="none"/>
          <w:lang w:val="en-US" w:eastAsia="zh-CN"/>
        </w:rPr>
      </w:pPr>
    </w:p>
    <w:p w14:paraId="77F690EF">
      <w:pPr>
        <w:pStyle w:val="2"/>
        <w:spacing w:line="251" w:lineRule="auto"/>
        <w:rPr>
          <w:highlight w:val="none"/>
        </w:rPr>
      </w:pPr>
    </w:p>
    <w:p w14:paraId="3C7C743B">
      <w:pPr>
        <w:spacing w:before="78" w:line="221" w:lineRule="auto"/>
        <w:ind w:left="94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联系电话：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                      </w:t>
      </w:r>
      <w:r>
        <w:rPr>
          <w:rFonts w:hint="eastAsia" w:ascii="宋体" w:hAnsi="宋体" w:eastAsia="宋体" w:cs="宋体"/>
          <w:spacing w:val="3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t>联系电话：</w:t>
      </w:r>
    </w:p>
    <w:p w14:paraId="3DD9A9D1">
      <w:pPr>
        <w:pStyle w:val="2"/>
        <w:spacing w:line="376" w:lineRule="auto"/>
        <w:rPr>
          <w:highlight w:val="none"/>
        </w:rPr>
      </w:pPr>
    </w:p>
    <w:p w14:paraId="72338356">
      <w:pPr>
        <w:spacing w:before="79" w:line="184" w:lineRule="auto"/>
        <w:ind w:left="9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签订日期：    年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     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月</w:t>
      </w:r>
      <w:r>
        <w:rPr>
          <w:rFonts w:ascii="宋体" w:hAnsi="宋体" w:eastAsia="宋体" w:cs="宋体"/>
          <w:spacing w:val="10"/>
          <w:sz w:val="24"/>
          <w:szCs w:val="24"/>
          <w:highlight w:val="none"/>
        </w:rPr>
        <w:t xml:space="preserve">     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 xml:space="preserve">日   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 xml:space="preserve">   签订日期：   年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 xml:space="preserve">      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月</w:t>
      </w:r>
      <w:r>
        <w:rPr>
          <w:rFonts w:ascii="宋体" w:hAnsi="宋体" w:eastAsia="宋体" w:cs="宋体"/>
          <w:spacing w:val="10"/>
          <w:sz w:val="24"/>
          <w:szCs w:val="24"/>
          <w:highlight w:val="none"/>
        </w:rPr>
        <w:t xml:space="preserve">     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日</w:t>
      </w:r>
    </w:p>
    <w:p w14:paraId="6CC491B7">
      <w:pPr>
        <w:pageBreakBefore w:val="0"/>
        <w:kinsoku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hint="eastAsia" w:ascii="仿宋" w:hAnsi="仿宋" w:eastAsia="仿宋"/>
          <w:sz w:val="24"/>
          <w:highlight w:val="none"/>
        </w:rPr>
      </w:pPr>
    </w:p>
    <w:p w14:paraId="1B9F01C0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</w:p>
    <w:p w14:paraId="34933550">
      <w:pPr>
        <w:pStyle w:val="8"/>
        <w:rPr>
          <w:rFonts w:hint="default"/>
          <w:highlight w:val="none"/>
        </w:rPr>
      </w:pPr>
    </w:p>
    <w:p w14:paraId="69096EE2">
      <w:bookmarkStart w:id="0" w:name="_GoBack"/>
      <w:bookmarkEnd w:id="0"/>
    </w:p>
    <w:sectPr>
      <w:footerReference r:id="rId6" w:type="default"/>
      <w:pgSz w:w="11906" w:h="16838"/>
      <w:pgMar w:top="1417" w:right="1134" w:bottom="1417" w:left="1417" w:header="851" w:footer="992" w:gutter="0"/>
      <w:pgNumType w:fmt="decimal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EB91E">
    <w:pPr>
      <w:spacing w:line="179" w:lineRule="auto"/>
      <w:ind w:left="4344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pacing w:val="-5"/>
        <w:sz w:val="18"/>
        <w:szCs w:val="18"/>
      </w:rPr>
      <w:t>-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33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AFF72">
    <w:pPr>
      <w:spacing w:line="179" w:lineRule="auto"/>
      <w:ind w:left="4317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pacing w:val="-5"/>
        <w:sz w:val="18"/>
        <w:szCs w:val="18"/>
      </w:rPr>
      <w:t>-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35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B1647">
    <w:pPr>
      <w:spacing w:line="179" w:lineRule="auto"/>
      <w:ind w:left="4318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pacing w:val="-5"/>
        <w:sz w:val="18"/>
        <w:szCs w:val="18"/>
      </w:rPr>
      <w:t>-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36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B1905">
    <w:pPr>
      <w:spacing w:line="179" w:lineRule="auto"/>
      <w:ind w:left="4313"/>
      <w:rPr>
        <w:rFonts w:ascii="Tahoma" w:hAnsi="Tahoma" w:eastAsia="Tahoma" w:cs="Tahoma"/>
        <w:sz w:val="18"/>
        <w:szCs w:val="18"/>
      </w:rPr>
    </w:pPr>
    <w:r>
      <w:rPr>
        <w:rFonts w:ascii="Tahoma" w:hAnsi="Tahoma" w:eastAsia="Tahoma" w:cs="Tahoma"/>
        <w:spacing w:val="-5"/>
        <w:sz w:val="18"/>
        <w:szCs w:val="18"/>
      </w:rPr>
      <w:t>-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37</w:t>
    </w:r>
    <w:r>
      <w:rPr>
        <w:rFonts w:ascii="Tahoma" w:hAnsi="Tahoma" w:eastAsia="Tahoma" w:cs="Tahoma"/>
        <w:spacing w:val="9"/>
        <w:sz w:val="18"/>
        <w:szCs w:val="18"/>
      </w:rPr>
      <w:t xml:space="preserve"> </w:t>
    </w:r>
    <w:r>
      <w:rPr>
        <w:rFonts w:ascii="Tahoma" w:hAnsi="Tahoma" w:eastAsia="Tahoma" w:cs="Tahoma"/>
        <w:spacing w:val="-5"/>
        <w:sz w:val="18"/>
        <w:szCs w:val="18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039F3"/>
    <w:rsid w:val="6B58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widowControl/>
    </w:pPr>
  </w:style>
  <w:style w:type="paragraph" w:styleId="3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6">
    <w:name w:val="大分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7">
    <w:name w:val="小标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2439</Words>
  <Characters>2459</Characters>
  <Lines>0</Lines>
  <Paragraphs>0</Paragraphs>
  <TotalTime>0</TotalTime>
  <ScaleCrop>false</ScaleCrop>
  <LinksUpToDate>false</LinksUpToDate>
  <CharactersWithSpaces>2602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2026-04-22T03:18:00Z</dcterms:created>
  <dc:creator>pc</dc:creator>
  <cp:lastModifiedBy>李玉萍</cp:lastModifiedBy>
  <dcterms:modified xsi:type="dcterms:W3CDTF">2026-08-06T07:10:37Z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eyJoZGlkIjoiZGI4YmY4NDQ0YTY0OGMzMWQyNTMwNmExODQ1NWVhMmUiLCJ1c2VySWQiOiI0MDcwNDQ1MjgifQ==</vt:lpwstr>
  </property>
  <property fmtid="{D5CDD505-2E9C-101B-9397-08002B2CF9AE}" pid="4" name="ICV">
    <vt:lpwstr>09D0C6F852AE4D6289BCC2C7933D040B_12</vt:lpwstr>
  </property>
</Properties>
</file>