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版本号：ZKZB-261902120260623001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长安区砲里街道西垇村省级“千万工程”示范村建设提升项目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ZKZB-2619021</w:t>
      </w:r>
      <w:r>
        <w:br/>
      </w:r>
      <w:r>
        <w:br/>
      </w:r>
      <w:r>
        <w:br/>
      </w:r>
    </w:p>
    <w:p>
      <w:pPr>
        <w:pStyle w:val="null3"/>
        <w:jc w:val="center"/>
        <w:outlineLvl w:val="2"/>
      </w:pPr>
      <w:r>
        <w:rPr>
          <w:rFonts w:ascii="仿宋_GB2312" w:hAnsi="仿宋_GB2312" w:cs="仿宋_GB2312" w:eastAsia="仿宋_GB2312"/>
          <w:sz w:val="28"/>
          <w:b/>
        </w:rPr>
        <w:t>西安市长安区砲里街道办事处</w:t>
      </w:r>
    </w:p>
    <w:p>
      <w:pPr>
        <w:pStyle w:val="null3"/>
        <w:jc w:val="center"/>
        <w:outlineLvl w:val="2"/>
      </w:pPr>
      <w:r>
        <w:rPr>
          <w:rFonts w:ascii="仿宋_GB2312" w:hAnsi="仿宋_GB2312" w:cs="仿宋_GB2312" w:eastAsia="仿宋_GB2312"/>
          <w:sz w:val="28"/>
          <w:b/>
        </w:rPr>
        <w:t>中科经纬工程技术有限公司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中科经纬工程技术有限公司</w:t>
      </w:r>
      <w:r>
        <w:rPr>
          <w:rFonts w:ascii="仿宋_GB2312" w:hAnsi="仿宋_GB2312" w:cs="仿宋_GB2312" w:eastAsia="仿宋_GB2312"/>
        </w:rPr>
        <w:t>（以下简称“代理机构”）受</w:t>
      </w:r>
      <w:r>
        <w:rPr>
          <w:rFonts w:ascii="仿宋_GB2312" w:hAnsi="仿宋_GB2312" w:cs="仿宋_GB2312" w:eastAsia="仿宋_GB2312"/>
        </w:rPr>
        <w:t>西安市长安区砲里街道办事处</w:t>
      </w:r>
      <w:r>
        <w:rPr>
          <w:rFonts w:ascii="仿宋_GB2312" w:hAnsi="仿宋_GB2312" w:cs="仿宋_GB2312" w:eastAsia="仿宋_GB2312"/>
        </w:rPr>
        <w:t>委托，拟对</w:t>
      </w:r>
      <w:r>
        <w:rPr>
          <w:rFonts w:ascii="仿宋_GB2312" w:hAnsi="仿宋_GB2312" w:cs="仿宋_GB2312" w:eastAsia="仿宋_GB2312"/>
        </w:rPr>
        <w:t>长安区砲里街道西垇村省级“千万工程”示范村建设提升项目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ZKZB-2619021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长安区砲里街道西垇村省级“千万工程”示范村建设提升项目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本次项目包含 3 条生产道路，道路路基宽 4.5 米，路面宽 3.5 米，两侧设置 0.5 米的土路肩， 设计速度主干路 15 公里/小时，道路横坡均采用 1.5%，土路肩横坡为 0.3%。具体内容以施工图纸和工程量清单为准。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采购包1（长安区砲里街道西垇村省级“千万工程”示范村建设提升项目）：属于专门面向中小企业采购。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2、财务状况报告：提供2024或2025年度的财务审计报告（财务报告是指经会计师事务所审计的上述指定年度整个会计年度财务报表（须提供会计师事务所出具的审计报告复印件）,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具有验证码；或提供资信证明原件或复印件，后附开户许可证或基本户信息复印件，（资信证明须为递交投标文件截止时间前六个月内由投标人基本账户开户银行出具）。</w:t>
      </w:r>
    </w:p>
    <w:p>
      <w:pPr>
        <w:pStyle w:val="null3"/>
      </w:pPr>
      <w:r>
        <w:rPr>
          <w:rFonts w:ascii="仿宋_GB2312" w:hAnsi="仿宋_GB2312" w:cs="仿宋_GB2312" w:eastAsia="仿宋_GB2312"/>
        </w:rPr>
        <w:t>3、税收缴纳证明：提供开标截止时间前6个月内任意一个月的纳税证明或完税证明，纳税证明或完税证明上应有代收机构或税务机关的公章。依法免税的供应商应提供相关文件证明。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开标截止时间前6个月内任意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5、法定代表人身份证明/法定代表人授权委托书：供应商应授权合法的人员参加投标：法定代表人直接参加投标，须出具法定代表人身份证明；法定代表人授权代表参加投标，须出具法定代表人授权书。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6、履约承诺：供应商须提供具有履行合同所必需的设备和专业技术能力的承诺。</w:t>
      </w:r>
    </w:p>
    <w:p>
      <w:pPr>
        <w:pStyle w:val="null3"/>
      </w:pPr>
      <w:r>
        <w:rPr>
          <w:rFonts w:ascii="仿宋_GB2312" w:hAnsi="仿宋_GB2312" w:cs="仿宋_GB2312" w:eastAsia="仿宋_GB2312"/>
        </w:rPr>
        <w:t>7、没有重大违法记录的书面声明：出具参加本次政府采购活动前三年内在经营活动中没有重大违法记录的书面声明。</w:t>
      </w:r>
    </w:p>
    <w:p>
      <w:pPr>
        <w:pStyle w:val="null3"/>
      </w:pPr>
      <w:r>
        <w:rPr>
          <w:rFonts w:ascii="仿宋_GB2312" w:hAnsi="仿宋_GB2312" w:cs="仿宋_GB2312" w:eastAsia="仿宋_GB2312"/>
        </w:rPr>
        <w:t>8、供应商及项目负责人：供应商须具备建设行政主管部门颁发的市政公用工程施工总承包三级及以上资质证书，且具备合格有效的安全生产许可证；拟派项目经理须具备市政公用工程专业二级或以上注册建造师执业资格并具有合法有效的安全生产考核合格证，在本单位注册，且无在建工程。</w:t>
      </w:r>
    </w:p>
    <w:p>
      <w:pPr>
        <w:pStyle w:val="null3"/>
      </w:pPr>
      <w:r>
        <w:rPr>
          <w:rFonts w:ascii="仿宋_GB2312" w:hAnsi="仿宋_GB2312" w:cs="仿宋_GB2312" w:eastAsia="仿宋_GB2312"/>
        </w:rPr>
        <w:t>9、信用记录：信用记录：供应商不得被列入“信用中国”网站（www.creditchina.gov.cn）重大税收违法失信主体，不得被列入“中国执行信息公开网”（https://zxgk.court.gov.cn/shixin/）失信被执行人名单，不得被列入“中国政府采购网”（www.ccgp.gov.cn）政府采购严重违法失信行为记录名单。</w:t>
      </w:r>
    </w:p>
    <w:p>
      <w:pPr>
        <w:pStyle w:val="null3"/>
      </w:pPr>
      <w:r>
        <w:rPr>
          <w:rFonts w:ascii="仿宋_GB2312" w:hAnsi="仿宋_GB2312" w:cs="仿宋_GB2312" w:eastAsia="仿宋_GB2312"/>
        </w:rPr>
        <w:t>10、单位负责人为同一人或者存在直接控股、管理关系的不同供应商，不得参加同一合同项下的政府采购活动：单位负责人为同一人或者存在直接控股、管理关系的不同供应商，不得参加同一合同项下的政府采购活动（提供书面声明）。</w:t>
      </w:r>
    </w:p>
    <w:p>
      <w:pPr>
        <w:pStyle w:val="null3"/>
      </w:pPr>
      <w:r>
        <w:rPr>
          <w:rFonts w:ascii="仿宋_GB2312" w:hAnsi="仿宋_GB2312" w:cs="仿宋_GB2312" w:eastAsia="仿宋_GB2312"/>
        </w:rPr>
        <w:t>11、本项目不接受联合体投标：本项目不接受联合体投标（提供书面声明）。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西安市长安区砲里街道办事处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西安市长安区砲里街道砲里村甲字1号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马明雷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15389030815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中科经纬工程技术有限公司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西安市浐灞生态区欧亚一路世园大观3栋5层502室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王嘉琦、张倩、陈世勤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13119171001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采购包1：930,395.99元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以成交价作为基数，参照发改价格[2011]534号文件及《国家发展改革委关于进一步放开建设项目专业服务价格的通知》（发改价格〔2015〕299号）文的规定标准收取；造价咨询服务费收费标准：以招标最高限价为基数，参照《陕西省物价局、住房和城乡建设厅关于我省工程造价咨询服务收费管理有关问题的通知》（陕价行发〔2014〕88号）文的规定标准收取。服务费可以采取银行转账或现金等方式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西安市长安区砲里街道办事处</w:t>
      </w:r>
      <w:r>
        <w:rPr>
          <w:rFonts w:ascii="仿宋_GB2312" w:hAnsi="仿宋_GB2312" w:cs="仿宋_GB2312" w:eastAsia="仿宋_GB2312"/>
        </w:rPr>
        <w:t>和</w:t>
      </w:r>
      <w:r>
        <w:rPr>
          <w:rFonts w:ascii="仿宋_GB2312" w:hAnsi="仿宋_GB2312" w:cs="仿宋_GB2312" w:eastAsia="仿宋_GB2312"/>
        </w:rPr>
        <w:t>中科经纬工程技术有限公司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西安市长安区砲里街道办事处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中科经纬工程技术有限公司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西安市长安区砲里街道办事处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中科经纬工程技术有限公司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需完全响应磋商文件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中科经纬工程技术有限公司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联系人：王嘉琦、张倩、陈世勤</w:t>
      </w:r>
    </w:p>
    <w:p>
      <w:pPr>
        <w:pStyle w:val="null3"/>
      </w:pPr>
      <w:r>
        <w:rPr>
          <w:rFonts w:ascii="仿宋_GB2312" w:hAnsi="仿宋_GB2312" w:cs="仿宋_GB2312" w:eastAsia="仿宋_GB2312"/>
        </w:rPr>
        <w:t>联系电话：13119171001</w:t>
      </w:r>
    </w:p>
    <w:p>
      <w:pPr>
        <w:pStyle w:val="null3"/>
      </w:pPr>
      <w:r>
        <w:rPr>
          <w:rFonts w:ascii="仿宋_GB2312" w:hAnsi="仿宋_GB2312" w:cs="仿宋_GB2312" w:eastAsia="仿宋_GB2312"/>
        </w:rPr>
        <w:t>地址：西安市浐灞生态区欧亚一路世园大观3栋5层502室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930,395.99</w:t>
      </w:r>
    </w:p>
    <w:p>
      <w:pPr>
        <w:pStyle w:val="null3"/>
      </w:pPr>
      <w:r>
        <w:rPr>
          <w:rFonts w:ascii="仿宋_GB2312" w:hAnsi="仿宋_GB2312" w:cs="仿宋_GB2312" w:eastAsia="仿宋_GB2312"/>
        </w:rPr>
        <w:t>采购包最高限价（元）: 930,395.99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长安区砲里街道西垇村省级“千万工程”示范村建设提升项目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930,395.99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标的名称：长安区砲里街道西垇村省级“千万工程”示范村建设提升项目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一、工程内容</w:t>
            </w:r>
          </w:p>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工程范围</w:t>
            </w:r>
          </w:p>
          <w:p>
            <w:pPr>
              <w:pStyle w:val="null3"/>
              <w:jc w:val="left"/>
            </w:pPr>
            <w:r>
              <w:rPr>
                <w:rFonts w:ascii="仿宋_GB2312" w:hAnsi="仿宋_GB2312" w:cs="仿宋_GB2312" w:eastAsia="仿宋_GB2312"/>
                <w:sz w:val="21"/>
                <w:color w:val="000000"/>
              </w:rPr>
              <w:t>拟建项目均位于西垇村现状土路范围内，本次项目是在原有道路上采用水泥混凝土硬化，起终点，道路边界明确，不涉及新增占地，不涉及拆迁建筑物，设计范围明确。</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工程规模、主要工程内容</w:t>
            </w:r>
          </w:p>
          <w:p>
            <w:pPr>
              <w:pStyle w:val="null3"/>
              <w:jc w:val="left"/>
            </w:pPr>
            <w:r>
              <w:rPr>
                <w:rFonts w:ascii="仿宋_GB2312" w:hAnsi="仿宋_GB2312" w:cs="仿宋_GB2312" w:eastAsia="仿宋_GB2312"/>
                <w:sz w:val="21"/>
                <w:color w:val="000000"/>
              </w:rPr>
              <w:t>拟建项目位于长安区砲里街道办事处西垇村，共涉及</w:t>
            </w:r>
            <w:r>
              <w:rPr>
                <w:rFonts w:ascii="仿宋_GB2312" w:hAnsi="仿宋_GB2312" w:cs="仿宋_GB2312" w:eastAsia="仿宋_GB2312"/>
                <w:sz w:val="21"/>
                <w:color w:val="000000"/>
              </w:rPr>
              <w:t>3 条生产路。</w:t>
            </w:r>
          </w:p>
          <w:p>
            <w:pPr>
              <w:pStyle w:val="null3"/>
              <w:jc w:val="left"/>
            </w:pPr>
            <w:r>
              <w:rPr>
                <w:rFonts w:ascii="仿宋_GB2312" w:hAnsi="仿宋_GB2312" w:cs="仿宋_GB2312" w:eastAsia="仿宋_GB2312"/>
                <w:sz w:val="21"/>
                <w:color w:val="000000"/>
              </w:rPr>
              <w:t>其中生产路五长</w:t>
            </w:r>
            <w:r>
              <w:rPr>
                <w:rFonts w:ascii="仿宋_GB2312" w:hAnsi="仿宋_GB2312" w:cs="仿宋_GB2312" w:eastAsia="仿宋_GB2312"/>
                <w:sz w:val="21"/>
                <w:color w:val="000000"/>
              </w:rPr>
              <w:t>588.003 米，路基宽 4.5 米，路面宽 3.5 米，路肩宽 0.5 米，采用 C30 水泥混凝土硬化，混凝土硬化面积 2058.01 平方米，同时两侧路肩培土 373.03 立方米。</w:t>
            </w:r>
          </w:p>
          <w:p>
            <w:pPr>
              <w:pStyle w:val="null3"/>
              <w:jc w:val="left"/>
            </w:pPr>
            <w:r>
              <w:rPr>
                <w:rFonts w:ascii="仿宋_GB2312" w:hAnsi="仿宋_GB2312" w:cs="仿宋_GB2312" w:eastAsia="仿宋_GB2312"/>
                <w:sz w:val="21"/>
                <w:color w:val="000000"/>
              </w:rPr>
              <w:t>生产路六长</w:t>
            </w:r>
            <w:r>
              <w:rPr>
                <w:rFonts w:ascii="仿宋_GB2312" w:hAnsi="仿宋_GB2312" w:cs="仿宋_GB2312" w:eastAsia="仿宋_GB2312"/>
                <w:sz w:val="21"/>
                <w:color w:val="000000"/>
              </w:rPr>
              <w:t>403.069 米，路基宽 4.5 米，路面宽 3.5 米，路肩宽 0.5 米，采用 C30 水泥混凝土硬化，混凝土硬化面积 1410.74 平方米，同时两侧路肩培土 255.71 立方米。</w:t>
            </w:r>
          </w:p>
          <w:p>
            <w:pPr>
              <w:pStyle w:val="null3"/>
              <w:jc w:val="left"/>
            </w:pPr>
            <w:r>
              <w:rPr>
                <w:rFonts w:ascii="仿宋_GB2312" w:hAnsi="仿宋_GB2312" w:cs="仿宋_GB2312" w:eastAsia="仿宋_GB2312"/>
                <w:sz w:val="21"/>
                <w:color w:val="000000"/>
              </w:rPr>
              <w:t>寨子至陕果生产路长</w:t>
            </w:r>
            <w:r>
              <w:rPr>
                <w:rFonts w:ascii="仿宋_GB2312" w:hAnsi="仿宋_GB2312" w:cs="仿宋_GB2312" w:eastAsia="仿宋_GB2312"/>
                <w:sz w:val="21"/>
                <w:color w:val="000000"/>
              </w:rPr>
              <w:t>114.0 米，路基宽 4.5 米，路面宽 3.5 米，路肩宽 0.5 米，采用 C30水泥混凝土硬化，混凝土硬化面积 399.0平方米，同时两侧路肩培土 72.32立方米。</w:t>
            </w:r>
          </w:p>
          <w:p>
            <w:pPr>
              <w:pStyle w:val="null3"/>
              <w:jc w:val="left"/>
            </w:pPr>
            <w:r>
              <w:rPr>
                <w:rFonts w:ascii="仿宋_GB2312" w:hAnsi="仿宋_GB2312" w:cs="仿宋_GB2312" w:eastAsia="仿宋_GB2312"/>
                <w:sz w:val="21"/>
                <w:color w:val="000000"/>
              </w:rPr>
              <w:t>具体详见工程量清单。</w:t>
            </w:r>
          </w:p>
          <w:p>
            <w:pPr>
              <w:pStyle w:val="null3"/>
            </w:pPr>
            <w:r>
              <w:rPr>
                <w:rFonts w:ascii="仿宋_GB2312" w:hAnsi="仿宋_GB2312" w:cs="仿宋_GB2312" w:eastAsia="仿宋_GB2312"/>
                <w:sz w:val="21"/>
              </w:rPr>
              <w:t>（二）工程地点：西安市长安区</w:t>
            </w:r>
            <w:r>
              <w:rPr>
                <w:rFonts w:ascii="仿宋_GB2312" w:hAnsi="仿宋_GB2312" w:cs="仿宋_GB2312" w:eastAsia="仿宋_GB2312"/>
                <w:sz w:val="21"/>
              </w:rPr>
              <w:t>砲里街道</w:t>
            </w:r>
            <w:r>
              <w:rPr>
                <w:rFonts w:ascii="仿宋_GB2312" w:hAnsi="仿宋_GB2312" w:cs="仿宋_GB2312" w:eastAsia="仿宋_GB2312"/>
                <w:sz w:val="21"/>
              </w:rPr>
              <w:t>西垇村西侧</w:t>
            </w:r>
          </w:p>
          <w:p>
            <w:pPr>
              <w:pStyle w:val="null3"/>
            </w:pPr>
            <w:r>
              <w:rPr>
                <w:rFonts w:ascii="仿宋_GB2312" w:hAnsi="仿宋_GB2312" w:cs="仿宋_GB2312" w:eastAsia="仿宋_GB2312"/>
                <w:sz w:val="21"/>
              </w:rPr>
              <w:t>（三）</w:t>
            </w:r>
            <w:r>
              <w:rPr>
                <w:rFonts w:ascii="仿宋_GB2312" w:hAnsi="仿宋_GB2312" w:cs="仿宋_GB2312" w:eastAsia="仿宋_GB2312"/>
                <w:sz w:val="21"/>
              </w:rPr>
              <w:t>计划工期：工程建设工期为</w:t>
            </w:r>
            <w:r>
              <w:rPr>
                <w:rFonts w:ascii="仿宋_GB2312" w:hAnsi="仿宋_GB2312" w:cs="仿宋_GB2312" w:eastAsia="仿宋_GB2312"/>
                <w:sz w:val="21"/>
              </w:rPr>
              <w:t>90日历天</w:t>
            </w:r>
            <w:r>
              <w:rPr>
                <w:rFonts w:ascii="仿宋_GB2312" w:hAnsi="仿宋_GB2312" w:cs="仿宋_GB2312" w:eastAsia="仿宋_GB2312"/>
                <w:sz w:val="21"/>
              </w:rPr>
              <w:t>。</w:t>
            </w:r>
          </w:p>
          <w:p>
            <w:pPr>
              <w:pStyle w:val="null3"/>
            </w:pPr>
            <w:r>
              <w:rPr>
                <w:rFonts w:ascii="仿宋_GB2312" w:hAnsi="仿宋_GB2312" w:cs="仿宋_GB2312" w:eastAsia="仿宋_GB2312"/>
                <w:sz w:val="21"/>
              </w:rPr>
              <w:t>（四）工程质量：质量达到合格标准，并满足国家相关标准、规范及有关技术文件要求。</w:t>
            </w:r>
          </w:p>
          <w:p>
            <w:pPr>
              <w:pStyle w:val="null3"/>
            </w:pPr>
            <w:r>
              <w:rPr>
                <w:rFonts w:ascii="仿宋_GB2312" w:hAnsi="仿宋_GB2312" w:cs="仿宋_GB2312" w:eastAsia="仿宋_GB2312"/>
                <w:sz w:val="21"/>
                <w:b/>
              </w:rPr>
              <w:t>二、详见附件工程量清单及施工图纸。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1.长安区砲里街道西垇村省级“千万工程”示范村建设提升项目施工图设计图纸。 2.2025年《陕西省建设工程工程量清单计价计算标准》等国家相关规定； 3.《陕西省建设工程费用规则（2025版）》（陕建管发〔2025〕10号）《陕西省市政工程消耗量定额（2025版）》及《陕西省市政工程基价表》（2025），《陕西省房屋建筑与装饰工程基价表》（2025），《陕西省安装工程基价表》(2025)，《陕西省园林绿化工程基价表》（2025）及相关配套文件进行编制； 4.建设工程扬尘治理专项措施费按陕建发【2017】270号； 5.价格参考《陕西信息价》2026年03月及市场价； 6.本项目采用广联达GCCP7.0，版本号7.5000.23.2编制；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1、代理服务费及工程造价服务费由成交单位在领取成交通知书时一次性支付。 2、代理服务费的计算方法：以成交价作为基数，参照发改价格[2011]534号文件及《国家发展改革委关于进一步放开建设项目专业服务价格的通知》（发改价格〔2015〕299号）文的规定标准收取；造价咨询服务费收费标准：以招标最高限价为基数，参照《陕西省物价局、住房和城乡建设厅关于我省工程造价咨询服务收费管理有关问题的通知》（陕价行发〔2014〕88号）文的规定标准收取，服务费可以采取银行转账或现金等方式支付。 3、以转账方式缴纳。 收款账户信息： 户名：中科经纬工程技术有限公司 地址：成都市青羊区敬业路218号15栋1楼1号 电话：028-67775960 统一社会信用代码：91510000MA61Y03R4K 开户银行：华夏银行股份有限公司成都分行 银行账号：11350000000923966 成交供应商在中标(成交)结果公告结束后3个工作日内向代理机构提供纸质版响应文件，响应文件为正本1份，副本2份，电子U盘1份(U盘内容包括Word版本、签字盖章扫描后的PDF版本响应文件及电子投标书)。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司法部关于政府采购支持监狱企业发展有关问题的通知》（财库〔2014〕68号）； （3）《国务院办公厅关于建立政府强制采购节能产品制度的通知》（国发办〔2007〕51号）； （4）《关于印发节能产品政府采购品目清单的通知》（财库〔2019〕19号）； （5）《关于印发环境标志产品政府采购品目清单的通知》（财库〔2019〕18号）； （6）《三部门联合发布关于促进残疾人就业政府采购政策的通知》（财库〔2017〕141号）； （7）《财政部 发展改革委 生态环境部 市场监管总局关于调整优化节能产品、环境标志产品政府采购执行机制的通知》（财库〔2019〕9号）； （8）陕西省财政厅关于印发《陕西省中小企业政府采购信用融资办法》（陕财办采〔2018〕23号）； （9）《财政部 农业农村部 国家乡村振兴局关于运用政府采购政策支持乡村产业振兴的通知》（财库〔2021〕19 号）； （10）《财政部 农业农村部 国家乡村振兴局 中华全国供销合作总社关于印发&lt;关于深入开展政府采购脱贫地区农副产品工作推进乡村产业振兴的实施意见&gt;的通知》（财库〔2021〕20号）； （11）《陕西省财政厅关于加快推进我省中小企业政府采购信用融资工作的通知》（陕财办采〔2020〕15号）； （12）《关于进一步加强政府绿色采购有关问题的通知》（陕财办采〔2021〕29号）； （13）《陕西省财政厅、中国人民银行西安分行关于深入推进政府采购信用融资业务的通知》（陕财办采〔2023〕5号）； （14）其他需要落实的政府采购政策。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具有独立承担民事责任能力的法人或其他组织</w:t>
            </w:r>
          </w:p>
        </w:tc>
        <w:tc>
          <w:tcPr>
            <w:tcW w:type="dxa" w:w="3322"/>
          </w:tcPr>
          <w:p>
            <w:pPr>
              <w:pStyle w:val="null3"/>
            </w:pPr>
            <w:r>
              <w:rPr>
                <w:rFonts w:ascii="仿宋_GB2312" w:hAnsi="仿宋_GB2312" w:cs="仿宋_GB2312" w:eastAsia="仿宋_GB2312"/>
              </w:rPr>
              <w:t>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提供2024或2025年度的财务审计报告（财务报告是指经会计师事务所审计的上述指定年度整个会计年度财务报表（须提供会计师事务所出具的审计报告复印件）, 复印件至少须包括报告正文、资产负债表、现金流量表、利润表、附注和会计师事务所营业执照，报告正文应当有会计师事务所公章和2名注册会计师的签字及盖章，审计报告应具有验证码；或提供资信证明原件或复印件，后附开户许可证或基本户信息复印件，（资信证明须为递交投标文件截止时间前六个月内由投标人基本账户开户银行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任意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供应商及项目负责人</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证书，且具备合格有效的安全生产许可证；拟派项目经理须具备市政公用工程专业二级或以上注册建造师执业资格并具有合法有效的安全生产考核合格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信用记录：供应商不得被列入“信用中国”网站（www.creditchina.gov.cn）重大税收违法失信主体，不得被列入“中国执行信息公开网”（https://zxgk.court.gov.cn/shixin/）失信被执行人名单，不得被列入“中国政府采购网”（www.ccgp.gov.cn）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方案非常详细并且完整可行、有针对性，完全满足项目实施的得15分； 方案较详细完整、可行，较利于项目实施的得10分； 方案基本可行，基本满足项目实施需要的得5分； 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分析本项目进度目标及关键节点，同时针对关键节点、具体环节提出相应进度保障措施，并根据本项目的工期要求，提供全面的确保工程按期按质完成的进度计划安排。 整体进度安排（施工进度表或施工网络图）及各阶段进度保证措施内容合理、方案具体可行、完全符合要求得7分； 内容较合理、方案可行性一般，基本符合要求得5分； 内容不完备、方案可行性差、不能全面符合要求得3分； 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安全文明施工措施计划</w:t>
            </w:r>
          </w:p>
        </w:tc>
        <w:tc>
          <w:tcPr>
            <w:tcW w:type="dxa" w:w="2492"/>
          </w:tcPr>
          <w:p>
            <w:pPr>
              <w:pStyle w:val="null3"/>
            </w:pPr>
            <w:r>
              <w:rPr>
                <w:rFonts w:ascii="仿宋_GB2312" w:hAnsi="仿宋_GB2312" w:cs="仿宋_GB2312" w:eastAsia="仿宋_GB2312"/>
              </w:rPr>
              <w:t>结合工程环境、特点分析安全隐患，给出有针对性的安全生产、文明施工、环保施工、防尘降噪等保证措施。 安全文明、环保保证体系组织措施和控制点设置合理，内容合理、方案具体可行、完全符合要求得6分； 内容较合理、方案可行性一般，基本符合要求得4分； 内容不完备、方案可行性差、不能全面符合要求得2分；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根据供应商制定的确保工程质量及工期的技术组织措施进行综合评审。 措施计划齐全、合理且切实可行，完全满足采购人需求得6分；措施计划齐全、合理、基本可行，基本满足采购人需求得4分；措施计划基本完备齐全、合理性、可行性较差，得2分；未提供不计分。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设备配备、劳动力配备、资金配备满足本工程要求得10分；设备配备、劳动力配备、资金配备不全面得7分；设备配备、劳动力配备、资金配备一般得5分；不满足施工要求得3分；未提供不计分。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针对本项目制定切实可行的总体质量控制目标，且对质量控制目标进行合理分解、规划，确保本项目质量标准符合相关标准。 内容合理、方案具体可行、完全符合要求得5分； 内容较合理、方案可行性一般，基本符合要求得3分； 内容不完备、方案可行性差、不能全面符合要求得1分；未提供不计分。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施工应急预案</w:t>
            </w:r>
          </w:p>
        </w:tc>
        <w:tc>
          <w:tcPr>
            <w:tcW w:type="dxa" w:w="2492"/>
          </w:tcPr>
          <w:p>
            <w:pPr>
              <w:pStyle w:val="null3"/>
            </w:pPr>
            <w:r>
              <w:rPr>
                <w:rFonts w:ascii="仿宋_GB2312" w:hAnsi="仿宋_GB2312" w:cs="仿宋_GB2312" w:eastAsia="仿宋_GB2312"/>
              </w:rPr>
              <w:t>针对本项目制定切实可行的人工、材料、设备的组织方案、给出有针对性的施工应急预案。 内容合理、方案具体可行、完全符合要求得5分； 内容较合理、方案可行性一般，基本符合要求得3分； 内容不完备、方案可行性差、不能全面符合要求得1分；未提供不计分。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现场施工扬尘环境治理管理措施</w:t>
            </w:r>
          </w:p>
        </w:tc>
        <w:tc>
          <w:tcPr>
            <w:tcW w:type="dxa" w:w="2492"/>
          </w:tcPr>
          <w:p>
            <w:pPr>
              <w:pStyle w:val="null3"/>
            </w:pPr>
            <w:r>
              <w:rPr>
                <w:rFonts w:ascii="仿宋_GB2312" w:hAnsi="仿宋_GB2312" w:cs="仿宋_GB2312" w:eastAsia="仿宋_GB2312"/>
              </w:rPr>
              <w:t>供应商针对本项目提供符合本项目实际要求的现场施工扬尘环境治理管理措施。 现场扬尘管理措施合理、有详尽的扬尘控制措施并可达到国家控制的标准得4分；现场扬尘管理措施较为合理得2分；现场扬尘管理措施一般得1分；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在项目实施阶段及完成后所承诺的责任、服务内容，并针对本项目实际需求提供实质性服务承诺，确有利于本次招标，服务内容全面合理，实施性强得4分；服务内容一般，实施性一般得2分；内容不全面、实施性不强得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1月1日至开标时间前类似项目业绩；每提供1份计4分，最高得8分。业绩证明（时间以合同签订时间为准，需在响应文件中附合同协议书扫描件并加盖单位公章，合同需体现签订日期及签字盖章页，证明材料不符合要求或未提供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1、经初审合格的响应文件，其最终报价为有效报价。 2、有效最低报价为基准价得30分。 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详见附件：施工合同--长安区砲里街道西垇村省级“千万工程”示范村建设提升项目(1)(1).docx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