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E10B3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ind w:firstLine="0" w:firstLineChars="0"/>
        <w:jc w:val="center"/>
        <w:rPr>
          <w:rFonts w:hint="eastAsia" w:ascii="宋体" w:hAnsi="宋体" w:eastAsia="宋体" w:cs="宋体"/>
          <w:color w:val="auto"/>
          <w:sz w:val="32"/>
          <w:szCs w:val="24"/>
        </w:rPr>
      </w:pPr>
      <w:r>
        <w:rPr>
          <w:rFonts w:hint="eastAsia" w:ascii="宋体" w:hAnsi="宋体" w:eastAsia="宋体" w:cs="宋体"/>
          <w:color w:val="auto"/>
          <w:sz w:val="32"/>
          <w:szCs w:val="24"/>
          <w:lang w:eastAsia="zh-CN"/>
        </w:rPr>
        <w:t>技术、服务、合同条款及其他商务要求应答表</w:t>
      </w:r>
    </w:p>
    <w:p w14:paraId="5D9D6788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宋体" w:hAnsi="宋体" w:eastAsia="宋体" w:cs="宋体"/>
          <w:sz w:val="24"/>
        </w:rPr>
      </w:pPr>
    </w:p>
    <w:tbl>
      <w:tblPr>
        <w:tblStyle w:val="3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3210"/>
        <w:gridCol w:w="1228"/>
        <w:gridCol w:w="885"/>
        <w:gridCol w:w="1219"/>
      </w:tblGrid>
      <w:tr w14:paraId="2579E3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61" w:type="pct"/>
          </w:tcPr>
          <w:p w14:paraId="0E564640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882" w:type="pct"/>
          </w:tcPr>
          <w:p w14:paraId="3638D483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磋商文件的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响应内容</w:t>
            </w:r>
          </w:p>
        </w:tc>
        <w:tc>
          <w:tcPr>
            <w:tcW w:w="720" w:type="pct"/>
          </w:tcPr>
          <w:p w14:paraId="510CB630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完全响应</w:t>
            </w:r>
          </w:p>
        </w:tc>
        <w:tc>
          <w:tcPr>
            <w:tcW w:w="519" w:type="pct"/>
          </w:tcPr>
          <w:p w14:paraId="0F3F9774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偏离</w:t>
            </w:r>
            <w:bookmarkStart w:id="0" w:name="_GoBack"/>
            <w:bookmarkEnd w:id="0"/>
          </w:p>
        </w:tc>
        <w:tc>
          <w:tcPr>
            <w:tcW w:w="715" w:type="pct"/>
          </w:tcPr>
          <w:p w14:paraId="7B1C752A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偏离简述</w:t>
            </w:r>
          </w:p>
        </w:tc>
      </w:tr>
      <w:tr w14:paraId="18796A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161" w:type="pct"/>
          </w:tcPr>
          <w:p w14:paraId="6AB8A707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pct"/>
          </w:tcPr>
          <w:p w14:paraId="4E88E184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pct"/>
          </w:tcPr>
          <w:p w14:paraId="5D192930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" w:type="pct"/>
          </w:tcPr>
          <w:p w14:paraId="0477A277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5" w:type="pct"/>
          </w:tcPr>
          <w:p w14:paraId="45B0DCD5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C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1" w:type="pct"/>
          </w:tcPr>
          <w:p w14:paraId="6D7452B8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pct"/>
          </w:tcPr>
          <w:p w14:paraId="095AAC4C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pct"/>
          </w:tcPr>
          <w:p w14:paraId="0E25191C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" w:type="pct"/>
          </w:tcPr>
          <w:p w14:paraId="6B3C99DF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5" w:type="pct"/>
          </w:tcPr>
          <w:p w14:paraId="1112C56B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F214F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1" w:type="pct"/>
          </w:tcPr>
          <w:p w14:paraId="588BDD15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pct"/>
          </w:tcPr>
          <w:p w14:paraId="41FF49CF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pct"/>
          </w:tcPr>
          <w:p w14:paraId="3208F276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" w:type="pct"/>
          </w:tcPr>
          <w:p w14:paraId="049EBFA6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5" w:type="pct"/>
          </w:tcPr>
          <w:p w14:paraId="481AB4A9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6982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1" w:type="pct"/>
            <w:vAlign w:val="center"/>
          </w:tcPr>
          <w:p w14:paraId="31A40192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pct"/>
            <w:vAlign w:val="center"/>
          </w:tcPr>
          <w:p w14:paraId="51F63ECE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pct"/>
          </w:tcPr>
          <w:p w14:paraId="0222865B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" w:type="pct"/>
          </w:tcPr>
          <w:p w14:paraId="72A1AE3C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5" w:type="pct"/>
          </w:tcPr>
          <w:p w14:paraId="56AAACBD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BD8E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1" w:type="pct"/>
            <w:vAlign w:val="center"/>
          </w:tcPr>
          <w:p w14:paraId="7E832363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pct"/>
            <w:vAlign w:val="center"/>
          </w:tcPr>
          <w:p w14:paraId="6AE35B07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pct"/>
          </w:tcPr>
          <w:p w14:paraId="58180849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" w:type="pct"/>
          </w:tcPr>
          <w:p w14:paraId="0E5FED98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5" w:type="pct"/>
          </w:tcPr>
          <w:p w14:paraId="352FE0EE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44F9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1" w:type="pct"/>
            <w:vAlign w:val="center"/>
          </w:tcPr>
          <w:p w14:paraId="74F8CBAD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882" w:type="pct"/>
            <w:vAlign w:val="center"/>
          </w:tcPr>
          <w:p w14:paraId="7F332445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720" w:type="pct"/>
          </w:tcPr>
          <w:p w14:paraId="62127AB4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" w:type="pct"/>
          </w:tcPr>
          <w:p w14:paraId="66999BFE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5" w:type="pct"/>
          </w:tcPr>
          <w:p w14:paraId="033A7B0C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56F9B63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供应商：（公章）</w:t>
      </w:r>
    </w:p>
    <w:p w14:paraId="1FA14032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法定代表人或其授权代表：（签字或加盖人名章）</w:t>
      </w:r>
    </w:p>
    <w:p w14:paraId="1AA78740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</w:p>
    <w:p w14:paraId="174BB9FE">
      <w:pPr>
        <w:keepNext w:val="0"/>
        <w:keepLines w:val="0"/>
        <w:pageBreakBefore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注：1.本表只填写响应文件中与磋商文件有偏离（包括正偏离和负偏离）的内容，响应文件中商务响应与磋商文件要求完全一致的，不用在此表中列出，但必须提交空白表。</w:t>
      </w:r>
    </w:p>
    <w:p w14:paraId="1A9355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roid Sans Fallback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AC30C5"/>
    <w:rsid w:val="12AC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Droid Sans Fallback" w:hAnsi="Droid Sans Fallback" w:eastAsia="Droid Sans Fallback" w:cs="Droid Sans Fallback"/>
      <w:sz w:val="22"/>
      <w:szCs w:val="22"/>
      <w:lang w:val="zh-CN" w:eastAsia="zh-CN" w:bidi="zh-CN"/>
    </w:rPr>
  </w:style>
  <w:style w:type="paragraph" w:styleId="2">
    <w:name w:val="heading 2"/>
    <w:basedOn w:val="1"/>
    <w:qFormat/>
    <w:uiPriority w:val="1"/>
    <w:pPr>
      <w:ind w:left="641" w:hanging="401"/>
      <w:jc w:val="center"/>
      <w:outlineLvl w:val="1"/>
    </w:pPr>
    <w:rPr>
      <w:rFonts w:eastAsia="楷体"/>
      <w:b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2026-06-23T10:06:00Z</dcterms:created>
  <dc:creator>豆豆</dc:creator>
  <cp:lastModifiedBy>豆豆</cp:lastModifiedBy>
  <dcterms:modified xsi:type="dcterms:W3CDTF">2026-06-23T10:09:34Z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C3D3CD24F1154FF495120181296EC3D9_11</vt:lpwstr>
  </property>
  <property fmtid="{D5CDD505-2E9C-101B-9397-08002B2CF9AE}" pid="4" name="KSOTemplateDocerSaveRecord">
    <vt:lpwstr>eyJoZGlkIjoiOTMxMTRmNGQxMDMxZWZkMmY3MTRkMTY3MzNlNTExNGUiLCJ1c2VySWQiOiI0ODQ1Nzg2MTAifQ==</vt:lpwstr>
  </property>
</Properties>
</file>