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版本号：XAJG（ZFCG）-2026040520260507001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校方（园）责任保险项目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XAJG（ZFCG）-20260405</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校方（园）责任保险项目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XAJG（ZFCG）-20260405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校方（园）责任保险项目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省教育工委、教育厅对全省各级各类学校投保校方责任保险的要求，结合学院2026年招生计划，为不断完善全省校园安全风险防控体系，积极推进平安校园建设工作，2026/2027学年我院在校生购买校（园）方责任保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3、财务状况：提供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p>
      <w:pPr>
        <w:pStyle w:val="null3"/>
      </w:pPr>
      <w:r>
        <w:rPr>
          <w:rFonts w:ascii="仿宋_GB2312" w:hAnsi="仿宋_GB2312" w:cs="仿宋_GB2312" w:eastAsia="仿宋_GB2312"/>
        </w:rPr>
        <w:t>4、税收缴纳证明：提交响应文件截止时间前一年内至少一个月的纳税证明或完税证明（任意税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6、专业技术能力说明：供应商提供具有履行本合同所必需的设备和专业技术能力的承诺函</w:t>
      </w:r>
    </w:p>
    <w:p>
      <w:pPr>
        <w:pStyle w:val="null3"/>
      </w:pPr>
      <w:r>
        <w:rPr>
          <w:rFonts w:ascii="仿宋_GB2312" w:hAnsi="仿宋_GB2312" w:cs="仿宋_GB2312" w:eastAsia="仿宋_GB2312"/>
        </w:rPr>
        <w:t>7、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p>
      <w:pPr>
        <w:pStyle w:val="null3"/>
      </w:pPr>
      <w:r>
        <w:rPr>
          <w:rFonts w:ascii="仿宋_GB2312" w:hAnsi="仿宋_GB2312" w:cs="仿宋_GB2312" w:eastAsia="仿宋_GB2312"/>
        </w:rPr>
        <w:t>8、无重大违法说明：参加本次政府采购活动前3年内在经营活动中没有重大违法记录，以及未被列入失信被执行人、重大税收违法案件当事人名单、政府采购严重违法失信行为记录名单的书面声明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9、资质证明：具有国家金融监督管理总局（原中国银行保险监督管理委员会）颁发的经营保险业务许可证或保险许可证</w:t>
      </w:r>
    </w:p>
    <w:p>
      <w:pPr>
        <w:pStyle w:val="null3"/>
      </w:pPr>
      <w:r>
        <w:rPr>
          <w:rFonts w:ascii="仿宋_GB2312" w:hAnsi="仿宋_GB2312" w:cs="仿宋_GB2312" w:eastAsia="仿宋_GB2312"/>
        </w:rPr>
        <w:t>10、承诺：同一保险机构只允许其本部或一家分支机构参与磋商</w:t>
      </w:r>
    </w:p>
    <w:p>
      <w:pPr>
        <w:pStyle w:val="null3"/>
      </w:pPr>
      <w:r>
        <w:rPr>
          <w:rFonts w:ascii="仿宋_GB2312" w:hAnsi="仿宋_GB2312" w:cs="仿宋_GB2312" w:eastAsia="仿宋_GB2312"/>
        </w:rPr>
        <w:t>11、供应商企业关系关联及联合体说明：单位负责人为同一人或者存在直接控股、管理关系的不同供应商，不得参加同一合同项下的政府采购活动</w:t>
      </w:r>
    </w:p>
    <w:p>
      <w:pPr>
        <w:pStyle w:val="null3"/>
      </w:pPr>
      <w:r>
        <w:rPr>
          <w:rFonts w:ascii="仿宋_GB2312" w:hAnsi="仿宋_GB2312" w:cs="仿宋_GB2312" w:eastAsia="仿宋_GB2312"/>
        </w:rPr>
        <w:t>12、联合体承诺书：本项目不接受联合体磋商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说明：1）成交方在签订合同前须向采购方交纳合同总金额5%的履约保证金。 2）成交方无正当理由不与采购方订立合同，在签订合同时向采购方提出附加条件，或者不按照招标文件要求提交履约保证金的，取消其成交资格。 3）项目验收合格后，采购方向成交方无息退还履约保证金。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以预算金额为基础，参照原国家计委颁布的《招标代理服务费收费管理暂行办法》（计价格[2002]1980号）中服务类的收费标准下浮20%收取。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验收条件：按合同约定，以保单为验收依据。 服务质量与合规性 服务执行的标准、规范： （1）国家标准、规范； （2）行业标准、规范； （3）地方标准、规范； （4）企业标准、规范；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省教育工委、教育厅对全省各级各类学校投保校方责任保险的要求，结合学院2026年招生计划，为不断完善全省校园安全风险防控体系，积极推进平安校园建设工作，2026/2027学年我院在校生购买校（园）方责任保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校方（园）责任保险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标的名称：校方（园）责任保险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按照省教育工委、教育厅对全省各级各类学校投保校方责任保险的要求，结合学院</w:t>
            </w:r>
            <w:r>
              <w:rPr>
                <w:rFonts w:ascii="仿宋_GB2312" w:hAnsi="仿宋_GB2312" w:cs="仿宋_GB2312" w:eastAsia="仿宋_GB2312"/>
                <w:sz w:val="20"/>
              </w:rPr>
              <w:t>2026年招生计划，为不断完善全省校园安全风险防控体系，积极推进平安校园建设工作，2026/2027学年我院在校生购买校（园）方责任保险。</w:t>
            </w:r>
          </w:p>
          <w:p>
            <w:pPr>
              <w:pStyle w:val="null3"/>
              <w:ind w:firstLine="400"/>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在保险期间内，在校学生在教育教学活动期间或由</w:t>
            </w:r>
            <w:r>
              <w:rPr>
                <w:rFonts w:ascii="仿宋_GB2312" w:hAnsi="仿宋_GB2312" w:cs="仿宋_GB2312" w:eastAsia="仿宋_GB2312"/>
                <w:sz w:val="20"/>
              </w:rPr>
              <w:t>学校</w:t>
            </w:r>
            <w:r>
              <w:rPr>
                <w:rFonts w:ascii="仿宋_GB2312" w:hAnsi="仿宋_GB2312" w:cs="仿宋_GB2312" w:eastAsia="仿宋_GB2312"/>
                <w:sz w:val="20"/>
              </w:rPr>
              <w:t>统一组织并带领下的校（园）外活动中，以及在</w:t>
            </w:r>
            <w:r>
              <w:rPr>
                <w:rFonts w:ascii="仿宋_GB2312" w:hAnsi="仿宋_GB2312" w:cs="仿宋_GB2312" w:eastAsia="仿宋_GB2312"/>
                <w:sz w:val="20"/>
              </w:rPr>
              <w:t>学校</w:t>
            </w:r>
            <w:r>
              <w:rPr>
                <w:rFonts w:ascii="仿宋_GB2312" w:hAnsi="仿宋_GB2312" w:cs="仿宋_GB2312" w:eastAsia="仿宋_GB2312"/>
                <w:sz w:val="20"/>
              </w:rPr>
              <w:t>负有管理责任的校舍、场地、其他教育教学设施、生活设施、交通工具内发生人身损害事故，依照中华人民共和国法律应由</w:t>
            </w:r>
            <w:r>
              <w:rPr>
                <w:rFonts w:ascii="仿宋_GB2312" w:hAnsi="仿宋_GB2312" w:cs="仿宋_GB2312" w:eastAsia="仿宋_GB2312"/>
                <w:sz w:val="20"/>
              </w:rPr>
              <w:t>学校</w:t>
            </w:r>
            <w:r>
              <w:rPr>
                <w:rFonts w:ascii="仿宋_GB2312" w:hAnsi="仿宋_GB2312" w:cs="仿宋_GB2312" w:eastAsia="仿宋_GB2312"/>
                <w:sz w:val="20"/>
              </w:rPr>
              <w:t>承担的经济赔偿责任，保险人按照约定负责赔偿</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642"/>
              <w:gridCol w:w="798"/>
              <w:gridCol w:w="1111"/>
            </w:tblGrid>
            <w:tr>
              <w:tc>
                <w:tcPr>
                  <w:tcW w:type="dxa" w:w="642"/>
                  <w:vMerge w:val="restart"/>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赔偿限额</w:t>
                  </w:r>
                </w:p>
              </w:tc>
              <w:tc>
                <w:tcPr>
                  <w:tcW w:type="dxa" w:w="798"/>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每次事故赔偿限额</w:t>
                  </w:r>
                </w:p>
              </w:tc>
              <w:tc>
                <w:tcPr>
                  <w:tcW w:type="dxa" w:w="1111"/>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800万</w:t>
                  </w:r>
                </w:p>
              </w:tc>
            </w:tr>
            <w:tr>
              <w:tc>
                <w:tcPr>
                  <w:tcW w:type="dxa" w:w="642"/>
                  <w:vMerge/>
                  <w:tcBorders>
                    <w:top w:val="single" w:color="000000" w:sz="8"/>
                    <w:left w:val="single" w:color="000000" w:sz="8"/>
                    <w:bottom w:val="single" w:color="000000" w:sz="4"/>
                    <w:right w:val="single" w:color="000000" w:sz="4"/>
                  </w:tcBorders>
                </w:tcP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每次事故每人赔偿限额</w:t>
                  </w:r>
                </w:p>
              </w:tc>
              <w:tc>
                <w:tcPr>
                  <w:tcW w:type="dxa" w:w="11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70万元</w:t>
                  </w:r>
                </w:p>
              </w:tc>
            </w:tr>
            <w:tr>
              <w:tc>
                <w:tcPr>
                  <w:tcW w:type="dxa" w:w="642"/>
                  <w:vMerge/>
                  <w:tcBorders>
                    <w:top w:val="single" w:color="000000" w:sz="8"/>
                    <w:left w:val="single" w:color="000000" w:sz="8"/>
                    <w:bottom w:val="single" w:color="000000" w:sz="4"/>
                    <w:right w:val="single" w:color="000000" w:sz="4"/>
                  </w:tcBorders>
                </w:tcP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累计赔偿限额</w:t>
                  </w:r>
                </w:p>
              </w:tc>
              <w:tc>
                <w:tcPr>
                  <w:tcW w:type="dxa" w:w="11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2500万元</w:t>
                  </w:r>
                </w:p>
              </w:tc>
            </w:tr>
            <w:tr>
              <w:tc>
                <w:tcPr>
                  <w:tcW w:type="dxa" w:w="642"/>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602"/>
                    <w:jc w:val="both"/>
                  </w:pPr>
                  <w:r>
                    <w:rPr>
                      <w:rFonts w:ascii="仿宋_GB2312" w:hAnsi="仿宋_GB2312" w:cs="仿宋_GB2312" w:eastAsia="仿宋_GB2312"/>
                      <w:sz w:val="20"/>
                      <w:b/>
                    </w:rPr>
                    <w:t>附加校（园）方无过失责任保险</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每次事故赔偿限额</w:t>
                  </w:r>
                </w:p>
              </w:tc>
              <w:tc>
                <w:tcPr>
                  <w:tcW w:type="dxa" w:w="11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300万元</w:t>
                  </w:r>
                </w:p>
              </w:tc>
            </w:tr>
            <w:tr>
              <w:tc>
                <w:tcPr>
                  <w:tcW w:type="dxa" w:w="642"/>
                  <w:vMerge/>
                  <w:tcBorders>
                    <w:top w:val="single" w:color="000000" w:sz="4"/>
                    <w:left w:val="single" w:color="000000" w:sz="8"/>
                    <w:bottom w:val="single" w:color="000000" w:sz="4"/>
                    <w:right w:val="single" w:color="000000" w:sz="4"/>
                  </w:tcBorders>
                </w:tcP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每次事故每人赔偿限额</w:t>
                  </w:r>
                </w:p>
              </w:tc>
              <w:tc>
                <w:tcPr>
                  <w:tcW w:type="dxa" w:w="11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20万元</w:t>
                  </w:r>
                </w:p>
              </w:tc>
            </w:tr>
            <w:tr>
              <w:tc>
                <w:tcPr>
                  <w:tcW w:type="dxa" w:w="642"/>
                  <w:vMerge/>
                  <w:tcBorders>
                    <w:top w:val="single" w:color="000000" w:sz="4"/>
                    <w:left w:val="single" w:color="000000" w:sz="8"/>
                    <w:bottom w:val="single" w:color="000000" w:sz="4"/>
                    <w:right w:val="single" w:color="000000" w:sz="4"/>
                  </w:tcBorders>
                </w:tcP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累计赔偿限额</w:t>
                  </w:r>
                </w:p>
              </w:tc>
              <w:tc>
                <w:tcPr>
                  <w:tcW w:type="dxa" w:w="1111"/>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800万元</w:t>
                  </w:r>
                </w:p>
              </w:tc>
            </w:tr>
            <w:tr>
              <w:tc>
                <w:tcPr>
                  <w:tcW w:type="dxa" w:w="64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 xml:space="preserve">   </w:t>
                  </w:r>
                  <w:r>
                    <w:rPr>
                      <w:rFonts w:ascii="仿宋_GB2312" w:hAnsi="仿宋_GB2312" w:cs="仿宋_GB2312" w:eastAsia="仿宋_GB2312"/>
                      <w:sz w:val="20"/>
                      <w:b/>
                    </w:rPr>
                    <w:t>每次事故免赔额</w:t>
                  </w:r>
                  <w:r>
                    <w:rPr>
                      <w:rFonts w:ascii="仿宋_GB2312" w:hAnsi="仿宋_GB2312" w:cs="仿宋_GB2312" w:eastAsia="仿宋_GB2312"/>
                      <w:sz w:val="20"/>
                      <w:b/>
                    </w:rPr>
                    <w:t>/率</w:t>
                  </w:r>
                </w:p>
              </w:tc>
              <w:tc>
                <w:tcPr>
                  <w:tcW w:type="dxa" w:w="1909"/>
                  <w:gridSpan w:val="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无免赔</w:t>
                  </w:r>
                </w:p>
              </w:tc>
            </w:tr>
          </w:tbl>
          <w:p>
            <w:pPr>
              <w:pStyle w:val="null3"/>
              <w:jc w:val="both"/>
            </w:pPr>
            <w:r>
              <w:rPr>
                <w:rFonts w:ascii="仿宋_GB2312" w:hAnsi="仿宋_GB2312" w:cs="仿宋_GB2312" w:eastAsia="仿宋_GB2312"/>
                <w:sz w:val="20"/>
              </w:rPr>
              <w:t>附加条款：</w:t>
            </w:r>
          </w:p>
          <w:p>
            <w:pPr>
              <w:pStyle w:val="null3"/>
              <w:ind w:firstLine="400"/>
              <w:jc w:val="both"/>
            </w:pPr>
            <w:r>
              <w:rPr>
                <w:rFonts w:ascii="仿宋_GB2312" w:hAnsi="仿宋_GB2312" w:cs="仿宋_GB2312" w:eastAsia="仿宋_GB2312"/>
                <w:sz w:val="20"/>
              </w:rPr>
              <w:t>1.附加校（园）方无过失责任保险</w:t>
            </w:r>
          </w:p>
          <w:p>
            <w:pPr>
              <w:pStyle w:val="null3"/>
              <w:ind w:firstLine="400"/>
              <w:jc w:val="both"/>
            </w:pPr>
            <w:r>
              <w:rPr>
                <w:rFonts w:ascii="仿宋_GB2312" w:hAnsi="仿宋_GB2312" w:cs="仿宋_GB2312" w:eastAsia="仿宋_GB2312"/>
                <w:sz w:val="20"/>
              </w:rPr>
              <w:t>2.附加特定情形责任保险</w:t>
            </w:r>
          </w:p>
          <w:p>
            <w:pPr>
              <w:pStyle w:val="null3"/>
              <w:ind w:firstLine="400"/>
              <w:jc w:val="both"/>
            </w:pPr>
            <w:r>
              <w:rPr>
                <w:rFonts w:ascii="仿宋_GB2312" w:hAnsi="仿宋_GB2312" w:cs="仿宋_GB2312" w:eastAsia="仿宋_GB2312"/>
                <w:sz w:val="20"/>
              </w:rPr>
              <w:t>3.校（园）方责任保险附加公平责任保险条款</w:t>
            </w:r>
          </w:p>
          <w:p>
            <w:pPr>
              <w:pStyle w:val="null3"/>
              <w:ind w:firstLine="400"/>
              <w:jc w:val="both"/>
            </w:pPr>
            <w:r>
              <w:rPr>
                <w:rFonts w:ascii="仿宋_GB2312" w:hAnsi="仿宋_GB2312" w:cs="仿宋_GB2312" w:eastAsia="仿宋_GB2312"/>
                <w:sz w:val="20"/>
              </w:rPr>
              <w:t>4.附加特定事故责任保险</w:t>
            </w:r>
          </w:p>
          <w:p>
            <w:pPr>
              <w:pStyle w:val="null3"/>
              <w:ind w:firstLine="400"/>
              <w:jc w:val="both"/>
            </w:pPr>
            <w:r>
              <w:rPr>
                <w:rFonts w:ascii="仿宋_GB2312" w:hAnsi="仿宋_GB2312" w:cs="仿宋_GB2312" w:eastAsia="仿宋_GB2312"/>
                <w:sz w:val="20"/>
              </w:rPr>
              <w:t>5.附加境外人身损害责任保险</w:t>
            </w:r>
          </w:p>
          <w:p>
            <w:pPr>
              <w:pStyle w:val="null3"/>
              <w:ind w:firstLine="400"/>
              <w:jc w:val="both"/>
            </w:pPr>
            <w:r>
              <w:rPr>
                <w:rFonts w:ascii="仿宋_GB2312" w:hAnsi="仿宋_GB2312" w:cs="仿宋_GB2312" w:eastAsia="仿宋_GB2312"/>
                <w:sz w:val="20"/>
              </w:rPr>
              <w:t>6.扩展特定事项附加险（</w:t>
            </w:r>
            <w:r>
              <w:rPr>
                <w:rFonts w:ascii="仿宋_GB2312" w:hAnsi="仿宋_GB2312" w:cs="仿宋_GB2312" w:eastAsia="仿宋_GB2312"/>
                <w:sz w:val="20"/>
              </w:rPr>
              <w:t>新增学生自动纳入保险条款</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7.校（园）方责任保险附加自然灾害责任保险条款</w:t>
            </w:r>
          </w:p>
          <w:p>
            <w:pPr>
              <w:pStyle w:val="null3"/>
              <w:jc w:val="both"/>
            </w:pPr>
            <w:r>
              <w:rPr>
                <w:rFonts w:ascii="仿宋_GB2312" w:hAnsi="仿宋_GB2312" w:cs="仿宋_GB2312" w:eastAsia="仿宋_GB2312"/>
                <w:sz w:val="20"/>
              </w:rPr>
              <w:t>特别约定：</w:t>
            </w:r>
          </w:p>
          <w:p>
            <w:pPr>
              <w:pStyle w:val="null3"/>
              <w:ind w:firstLine="400"/>
              <w:jc w:val="both"/>
            </w:pPr>
            <w:r>
              <w:rPr>
                <w:rFonts w:ascii="仿宋_GB2312" w:hAnsi="仿宋_GB2312" w:cs="仿宋_GB2312" w:eastAsia="仿宋_GB2312"/>
                <w:sz w:val="20"/>
              </w:rPr>
              <w:t>1.保单校（园）方责任保险附加校（园）方无过失责任保险条款：每生每年赔偿限额20万元，每校每次事故赔偿限额300万元，每校每年累计赔偿限额800万元</w:t>
            </w:r>
          </w:p>
          <w:p>
            <w:pPr>
              <w:pStyle w:val="null3"/>
              <w:ind w:firstLine="400"/>
              <w:jc w:val="both"/>
            </w:pPr>
            <w:r>
              <w:rPr>
                <w:rFonts w:ascii="仿宋_GB2312" w:hAnsi="仿宋_GB2312" w:cs="仿宋_GB2312" w:eastAsia="仿宋_GB2312"/>
                <w:sz w:val="20"/>
              </w:rPr>
              <w:t>2.对于在投保年度被保险人的新增学生的情况，自该学生完成注册当时起，自动纳入本保险保障范围。</w:t>
            </w:r>
          </w:p>
          <w:p>
            <w:pPr>
              <w:pStyle w:val="null3"/>
              <w:ind w:firstLine="400"/>
              <w:jc w:val="both"/>
            </w:pPr>
            <w:r>
              <w:rPr>
                <w:rFonts w:ascii="仿宋_GB2312" w:hAnsi="仿宋_GB2312" w:cs="仿宋_GB2312" w:eastAsia="仿宋_GB2312"/>
                <w:sz w:val="20"/>
              </w:rPr>
              <w:t>三、服务要求</w:t>
            </w:r>
          </w:p>
          <w:p>
            <w:pPr>
              <w:pStyle w:val="null3"/>
              <w:ind w:firstLine="442"/>
              <w:jc w:val="both"/>
            </w:pPr>
            <w:r>
              <w:rPr>
                <w:rFonts w:ascii="仿宋_GB2312" w:hAnsi="仿宋_GB2312" w:cs="仿宋_GB2312" w:eastAsia="仿宋_GB2312"/>
                <w:sz w:val="20"/>
              </w:rPr>
              <w:t>保险期间实际学生人数变动幅度在全校本年度内拟投保总学生人数</w:t>
            </w:r>
            <w:r>
              <w:rPr>
                <w:rFonts w:ascii="仿宋_GB2312" w:hAnsi="仿宋_GB2312" w:cs="仿宋_GB2312" w:eastAsia="仿宋_GB2312"/>
                <w:sz w:val="20"/>
              </w:rPr>
              <w:t>15800人（暂定）的5%(含5%)以内的，保险人同意不增减保险费。</w:t>
            </w:r>
          </w:p>
          <w:p>
            <w:pPr>
              <w:pStyle w:val="null3"/>
              <w:ind w:firstLine="442"/>
              <w:jc w:val="both"/>
            </w:pPr>
            <w:r>
              <w:rPr>
                <w:rFonts w:ascii="仿宋_GB2312" w:hAnsi="仿宋_GB2312" w:cs="仿宋_GB2312" w:eastAsia="仿宋_GB2312"/>
                <w:sz w:val="20"/>
              </w:rPr>
              <w:t>提供专业服务人员对所涉保险条款、保险责任、保险期间、保险额度等保险合同主要条款给予</w:t>
            </w:r>
            <w:r>
              <w:rPr>
                <w:rFonts w:ascii="仿宋_GB2312" w:hAnsi="仿宋_GB2312" w:cs="仿宋_GB2312" w:eastAsia="仿宋_GB2312"/>
                <w:sz w:val="20"/>
              </w:rPr>
              <w:t>学校</w:t>
            </w:r>
            <w:r>
              <w:rPr>
                <w:rFonts w:ascii="仿宋_GB2312" w:hAnsi="仿宋_GB2312" w:cs="仿宋_GB2312" w:eastAsia="仿宋_GB2312"/>
                <w:sz w:val="20"/>
              </w:rPr>
              <w:t>重要提示及详细说明</w:t>
            </w:r>
            <w:r>
              <w:rPr>
                <w:rFonts w:ascii="仿宋_GB2312" w:hAnsi="仿宋_GB2312" w:cs="仿宋_GB2312" w:eastAsia="仿宋_GB2312"/>
                <w:sz w:val="20"/>
              </w:rPr>
              <w:t>，</w:t>
            </w:r>
            <w:r>
              <w:rPr>
                <w:rFonts w:ascii="仿宋_GB2312" w:hAnsi="仿宋_GB2312" w:cs="仿宋_GB2312" w:eastAsia="仿宋_GB2312"/>
                <w:sz w:val="20"/>
              </w:rPr>
              <w:t>并协助办理投保手续。</w:t>
            </w:r>
          </w:p>
          <w:p>
            <w:pPr>
              <w:pStyle w:val="null3"/>
              <w:ind w:firstLine="400"/>
              <w:jc w:val="both"/>
            </w:pPr>
            <w:r>
              <w:rPr>
                <w:rFonts w:ascii="仿宋_GB2312" w:hAnsi="仿宋_GB2312" w:cs="仿宋_GB2312" w:eastAsia="仿宋_GB2312"/>
                <w:sz w:val="20"/>
              </w:rPr>
              <w:t>四、商务要求</w:t>
            </w:r>
          </w:p>
          <w:p>
            <w:pPr>
              <w:pStyle w:val="null3"/>
              <w:ind w:firstLine="442"/>
              <w:jc w:val="both"/>
            </w:pPr>
            <w:r>
              <w:rPr>
                <w:rFonts w:ascii="仿宋_GB2312" w:hAnsi="仿宋_GB2312" w:cs="仿宋_GB2312" w:eastAsia="仿宋_GB2312"/>
                <w:sz w:val="20"/>
              </w:rPr>
              <w:t>应设立固定报案电话，实行全天侯的现场勘查制度，并为</w:t>
            </w:r>
            <w:r>
              <w:rPr>
                <w:rFonts w:ascii="仿宋_GB2312" w:hAnsi="仿宋_GB2312" w:cs="仿宋_GB2312" w:eastAsia="仿宋_GB2312"/>
                <w:sz w:val="20"/>
              </w:rPr>
              <w:t>学校</w:t>
            </w:r>
            <w:r>
              <w:rPr>
                <w:rFonts w:ascii="仿宋_GB2312" w:hAnsi="仿宋_GB2312" w:cs="仿宋_GB2312" w:eastAsia="仿宋_GB2312"/>
                <w:sz w:val="20"/>
              </w:rPr>
              <w:t>提供合理、及时、人性化的理赔服务</w:t>
            </w:r>
            <w:r>
              <w:rPr>
                <w:rFonts w:ascii="仿宋_GB2312" w:hAnsi="仿宋_GB2312" w:cs="仿宋_GB2312" w:eastAsia="仿宋_GB2312"/>
                <w:sz w:val="20"/>
              </w:rPr>
              <w:t>,相应赔款应在</w:t>
            </w:r>
            <w:r>
              <w:rPr>
                <w:rFonts w:ascii="仿宋_GB2312" w:hAnsi="仿宋_GB2312" w:cs="仿宋_GB2312" w:eastAsia="仿宋_GB2312"/>
                <w:sz w:val="20"/>
              </w:rPr>
              <w:t>学校</w:t>
            </w:r>
            <w:r>
              <w:rPr>
                <w:rFonts w:ascii="仿宋_GB2312" w:hAnsi="仿宋_GB2312" w:cs="仿宋_GB2312" w:eastAsia="仿宋_GB2312"/>
                <w:sz w:val="20"/>
              </w:rPr>
              <w:t>提供完整索赔资料之日起</w:t>
            </w:r>
            <w:r>
              <w:rPr>
                <w:rFonts w:ascii="仿宋_GB2312" w:hAnsi="仿宋_GB2312" w:cs="仿宋_GB2312" w:eastAsia="仿宋_GB2312"/>
                <w:sz w:val="20"/>
              </w:rPr>
              <w:t>15个工作日内赔偿完毕</w:t>
            </w:r>
            <w:r>
              <w:rPr>
                <w:rFonts w:ascii="仿宋_GB2312" w:hAnsi="仿宋_GB2312" w:cs="仿宋_GB2312" w:eastAsia="仿宋_GB2312"/>
                <w:sz w:val="20"/>
              </w:rPr>
              <w:t>。</w:t>
            </w:r>
            <w:r>
              <w:rPr>
                <w:rFonts w:ascii="仿宋_GB2312" w:hAnsi="仿宋_GB2312" w:cs="仿宋_GB2312" w:eastAsia="仿宋_GB2312"/>
                <w:sz w:val="20"/>
              </w:rPr>
              <w:t>应不断优化并简化其投保、理赔程序，为</w:t>
            </w:r>
            <w:r>
              <w:rPr>
                <w:rFonts w:ascii="仿宋_GB2312" w:hAnsi="仿宋_GB2312" w:cs="仿宋_GB2312" w:eastAsia="仿宋_GB2312"/>
                <w:sz w:val="20"/>
              </w:rPr>
              <w:t>学校</w:t>
            </w:r>
            <w:r>
              <w:rPr>
                <w:rFonts w:ascii="仿宋_GB2312" w:hAnsi="仿宋_GB2312" w:cs="仿宋_GB2312" w:eastAsia="仿宋_GB2312"/>
                <w:sz w:val="20"/>
              </w:rPr>
              <w:t>提供更优质的服务。</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.1服务期限</w:t>
            </w:r>
          </w:p>
          <w:p>
            <w:pPr>
              <w:pStyle w:val="null3"/>
              <w:ind w:firstLine="400"/>
            </w:pPr>
            <w:r>
              <w:rPr>
                <w:rFonts w:ascii="仿宋_GB2312" w:hAnsi="仿宋_GB2312" w:cs="仿宋_GB2312" w:eastAsia="仿宋_GB2312"/>
                <w:sz w:val="20"/>
              </w:rPr>
              <w:t>以保单生效</w:t>
            </w:r>
            <w:r>
              <w:rPr>
                <w:rFonts w:ascii="仿宋_GB2312" w:hAnsi="仿宋_GB2312" w:cs="仿宋_GB2312" w:eastAsia="仿宋_GB2312"/>
                <w:sz w:val="20"/>
              </w:rPr>
              <w:t>之日起一年</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.2服务地点</w:t>
            </w:r>
          </w:p>
          <w:p>
            <w:pPr>
              <w:pStyle w:val="null3"/>
              <w:ind w:firstLine="400"/>
            </w:pPr>
            <w:r>
              <w:rPr>
                <w:rFonts w:ascii="仿宋_GB2312" w:hAnsi="仿宋_GB2312" w:cs="仿宋_GB2312" w:eastAsia="仿宋_GB2312"/>
                <w:sz w:val="20"/>
              </w:rPr>
              <w:t>照采购人要求</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.3考核（验收）标准和方法</w:t>
            </w:r>
          </w:p>
          <w:p>
            <w:pPr>
              <w:pStyle w:val="null3"/>
              <w:ind w:firstLine="400"/>
            </w:pPr>
            <w:r>
              <w:rPr>
                <w:rFonts w:ascii="仿宋_GB2312" w:hAnsi="仿宋_GB2312" w:cs="仿宋_GB2312" w:eastAsia="仿宋_GB2312"/>
                <w:sz w:val="20"/>
              </w:rPr>
              <w:t>按合同约定</w:t>
            </w:r>
            <w:r>
              <w:rPr>
                <w:rFonts w:ascii="仿宋_GB2312" w:hAnsi="仿宋_GB2312" w:cs="仿宋_GB2312" w:eastAsia="仿宋_GB2312"/>
                <w:sz w:val="20"/>
              </w:rPr>
              <w:t>，以保单为验收依据。</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.4支付方式</w:t>
            </w:r>
          </w:p>
          <w:p>
            <w:pPr>
              <w:pStyle w:val="null3"/>
              <w:ind w:firstLine="400"/>
            </w:pPr>
            <w:r>
              <w:rPr>
                <w:rFonts w:ascii="仿宋_GB2312" w:hAnsi="仿宋_GB2312" w:cs="仿宋_GB2312" w:eastAsia="仿宋_GB2312"/>
                <w:sz w:val="20"/>
              </w:rPr>
              <w:t>一次付清</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.5支付约定</w:t>
            </w:r>
          </w:p>
          <w:p>
            <w:pPr>
              <w:pStyle w:val="null3"/>
              <w:ind w:firstLine="400"/>
            </w:pPr>
            <w:r>
              <w:rPr>
                <w:rFonts w:ascii="仿宋_GB2312" w:hAnsi="仿宋_GB2312" w:cs="仿宋_GB2312" w:eastAsia="仿宋_GB2312"/>
                <w:sz w:val="20"/>
              </w:rPr>
              <w:t>付款条件说明：保险费单价金额不变，最终以合同确定的实际参保人数为准，收到保单发票后</w:t>
            </w:r>
            <w:r>
              <w:rPr>
                <w:rFonts w:ascii="仿宋_GB2312" w:hAnsi="仿宋_GB2312" w:cs="仿宋_GB2312" w:eastAsia="仿宋_GB2312"/>
                <w:sz w:val="20"/>
              </w:rPr>
              <w:t>30天内支付</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五、其他（如有要求，请写明）</w:t>
            </w:r>
          </w:p>
          <w:p>
            <w:pPr>
              <w:pStyle w:val="null3"/>
              <w:ind w:firstLine="400"/>
              <w:jc w:val="both"/>
            </w:pPr>
            <w:r>
              <w:rPr>
                <w:rFonts w:ascii="仿宋_GB2312" w:hAnsi="仿宋_GB2312" w:cs="仿宋_GB2312" w:eastAsia="仿宋_GB2312"/>
                <w:sz w:val="20"/>
              </w:rPr>
              <w:t>服务质量与合规性</w:t>
            </w:r>
          </w:p>
          <w:p>
            <w:pPr>
              <w:pStyle w:val="null3"/>
              <w:ind w:firstLine="400"/>
            </w:pPr>
            <w:r>
              <w:rPr>
                <w:rFonts w:ascii="仿宋_GB2312" w:hAnsi="仿宋_GB2312" w:cs="仿宋_GB2312" w:eastAsia="仿宋_GB2312"/>
                <w:sz w:val="20"/>
              </w:rPr>
              <w:t>服务执行的标准、规范：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1）国家标准、规范；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2）行业标准、规范；</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3）地方标准、规范；</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4）企业标准、规范</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1.针对本项目配备相关业务人员，确保按期完成投保； 2.接到投保人的投保信息通知，5天内出具保险单证，并送达到指定地方； 3.每周对投保情况进行汇总，提交采购人； 4.被报险学校有人员变动、名称或地址变更、合并、注销、分立、设立分校等事宜时，及时做好上述事项的保全服务工作； 5.具有专人负责跟采购人进行对接，确保及时处理突发情况。</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以保单生效之日起一年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按合同约定，以保单为验收依据。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保险费单价金额不变，最终以合同确定的实际参保人数为准，收到保单发票后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确定成交单位后，成交单位须提供通过电子化交易平台生成的纸质版响应文件正本 壹 套、副本 贰 套、电子版 壹 套（U盘一套标明供应商名称），应与线上提交的响应文件保持一致。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提交响应文件截止时间前一年内至少一个月的纳税证明或完税证明（任意税种），纳税证明或完税证明上应有代收机构或税务机关的公章或业务专用章。（依法免税的供应商应提供相应文件证明）。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专业技术能力说明</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具有履行本合同所必需的设备和专业技术能力的书面声明.docx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磋商现场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供应商无重大违法记录书面声明.docx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具有国家金融监督管理总局（原中国银行保险监督管理委员会）颁发的经营保险业务许可证或保险许可证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同一保险机构只允许其本部或一家分支机构参与磋商</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投标人投标资格承诺书.docx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 盖章。</w:t>
            </w:r>
          </w:p>
        </w:tc>
        <w:tc>
          <w:tcPr>
            <w:tcW w:type="dxa" w:w="1661"/>
          </w:tcPr>
          <w:p>
            <w:pPr>
              <w:pStyle w:val="null3"/>
            </w:pPr>
            <w:r>
              <w:rPr>
                <w:rFonts w:ascii="仿宋_GB2312" w:hAnsi="仿宋_GB2312" w:cs="仿宋_GB2312" w:eastAsia="仿宋_GB2312"/>
              </w:rPr>
              <w:t>商务应答表 类似业绩情况.docx 报价表 供应商无重大违法记录书面声明.docx 保险内容.docx 分项报价表.docx 应急预案.docx 增值服务.docx 售后服务.docx 赔付限额.docx 项目组成员.docx 标的清单 供应商资格证明文件.docx 本项目不接受联合体.docx 监狱企业的证明文件 保密措施.docx 服务内容及服务邀请应答表 法定代表人身份证明、法定代表人授权.docx 中小企业声明函 供应商应提交的相关资格证明材料 具有履行本合同所必需的设备和专业技术能力的书面声明.docx 投标人投标资格承诺书.docx 供应商承诺书.docx 响应文件封面 理赔服务.docx 残疾人福利性单位声明函 服务方案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参保明细</w:t>
            </w:r>
          </w:p>
        </w:tc>
        <w:tc>
          <w:tcPr>
            <w:tcW w:type="dxa" w:w="2492"/>
          </w:tcPr>
          <w:p>
            <w:pPr>
              <w:pStyle w:val="null3"/>
            </w:pPr>
            <w:r>
              <w:rPr>
                <w:rFonts w:ascii="仿宋_GB2312" w:hAnsi="仿宋_GB2312" w:cs="仿宋_GB2312" w:eastAsia="仿宋_GB2312"/>
              </w:rPr>
              <w:t>根据供应商针对本项目保险责任、理赔范围、保险项目和保险金额（被保险人的给付标准）进行综合比较，内容全面、详尽合理、可行性强、完全满足采购人的要求计10分； 每有一项不满足采购人的要求扣1分，扣完为止。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一、评审内容 针对本项目具有完整的项目理赔服务方案，包括①项目理赔程序及服务流程、②报案时效、③理赔时效、理赔响应时间方案、④对被保险人理赔材料的处理方案等内容。 二、评审标准 1、完整性：方案必须全面，对评审内容中的各项要求有详细描述； 2、可实施性：切合本项目实际情况，可行性强。 3、针对性：方案能够紧扣项目实际情况，内容科学合理。 三、赋分标准（满分12分） 每小条中每完全满足一个评审标准得1分，满分3分。本项满分12分。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保险内容</w:t>
            </w:r>
          </w:p>
        </w:tc>
        <w:tc>
          <w:tcPr>
            <w:tcW w:type="dxa" w:w="2492"/>
          </w:tcPr>
          <w:p>
            <w:pPr>
              <w:pStyle w:val="null3"/>
            </w:pPr>
            <w:r>
              <w:rPr>
                <w:rFonts w:ascii="仿宋_GB2312" w:hAnsi="仿宋_GB2312" w:cs="仿宋_GB2312" w:eastAsia="仿宋_GB2312"/>
              </w:rPr>
              <w:t>一、评审内容 供应商须列明①参保的保险内容、②索赔时所需提供的资料。 二、评审标准 1、完整性：内容必须全面，对评审内容中的各项要求有详细描述； 2、可实施性：切合本项目实际情况，可行性强。资料便捷明了、方便操作。 3、针对性：方案能够紧扣项目实际情况，内容科学合理。 三、赋分标准（满分6分） 每小条中每完全满足一个评审标准得1分，满分3分。本项满分6分。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供应商提供的①定期巡访方案、②出案后定期回访方案。 二、评审标准 1、完整性：内容必须全面，对评审内容中的各项要求有详细描述； 2、可实施性：切合本项目实际情况，可行性强。 3、针对性：方案能够紧扣项目实际情况，内容科学合理。 三、赋分标准（满分6分） 每小条中每完全满足一个评审标准得1分，满分3分。本项满分6分。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1.对甲方可认定责任的事故不设报案时限，计1分。 2.对被保险人提供理赔材料有欠缺的协助处理方案，得1分。 3、对被保险人提供理赔材料有错误的协助处理方案。得1分。 4、能够认同甲方对特殊事故的处理意见，有通融赔付机制和案例，得1分； 5、有上门收取甲方理赔资料的服务流程得1分。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供应商应保证参保人员所有信息数据不得外泄，有相应的保密方案及保密措施。 二、评审标准 1、完整性：内容必须全面，对评审内容中的各项要求有详细描述； 2、可实施性：切合本项目实际情况，可行性强。 3、针对性：方案能够紧扣项目实际情况，内容科学合理。 三、赋分标准（满分3分） 每小条中每完全满足一个评审标准得1分，满分3分。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一、评审内容 针对本项目工作小组的设立及人员配备。 ①建立专门项目小组、②出案后安排专人定期回访。 二、评审标准 1、完整性：内容必须全面，提供小组人员名单及相关证件； 2、可实施性：切合本项目实际情况，可行性强。 3、针对性：能够紧扣项目实际情况，内容科学合理。 三、赋分标准（满分6分） 每小条中每完全满足一个评审标准得1分，满分3分。本项满分6分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针对本项目有相应的应急措施，①突发事件的处理机制、②事故响应与医疗处置、③材料准备与责任认定、④理赔程序与款项落实。 二、评审标准 1、完整性：内容必须全面，对评审内容中的各项要求有详细描述； 2、可实施性：切合本项目实际情况，可行性强。 3、针对性：方案能够紧扣项目实际情况，内容科学合理。 三、赋分标准（满分12分） 每小条中每完全满足一个评审标准得1分，满分3分。本项满分12分。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根据供应商提供的2023年1月至今所投同类业绩（以合同签订日期为准，仅限供应商本身，提供合同复印件）进行评定，每份计1分，最高计5分。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赔付限额</w:t>
            </w:r>
          </w:p>
        </w:tc>
        <w:tc>
          <w:tcPr>
            <w:tcW w:type="dxa" w:w="2492"/>
          </w:tcPr>
          <w:p>
            <w:pPr>
              <w:pStyle w:val="null3"/>
            </w:pPr>
            <w:r>
              <w:rPr>
                <w:rFonts w:ascii="仿宋_GB2312" w:hAnsi="仿宋_GB2312" w:cs="仿宋_GB2312" w:eastAsia="仿宋_GB2312"/>
              </w:rPr>
              <w:t>以磋商文件规定的赔付限额为基数，每有一项赔付限额提高计1分，最高计5分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 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详见附件：类似业绩情况.docx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详见附件：投标人投标资格承诺书.docx</w:t>
      </w:r>
    </w:p>
    <w:p>
      <w:pPr>
        <w:pStyle w:val="null3"/>
        <w:ind w:firstLine="960"/>
      </w:pPr>
      <w:r>
        <w:rPr>
          <w:rFonts w:ascii="仿宋_GB2312" w:hAnsi="仿宋_GB2312" w:cs="仿宋_GB2312" w:eastAsia="仿宋_GB2312"/>
        </w:rPr>
        <w:t>详见附件：理赔服务.docx</w:t>
      </w:r>
    </w:p>
    <w:p>
      <w:pPr>
        <w:pStyle w:val="null3"/>
        <w:ind w:firstLine="960"/>
      </w:pPr>
      <w:r>
        <w:rPr>
          <w:rFonts w:ascii="仿宋_GB2312" w:hAnsi="仿宋_GB2312" w:cs="仿宋_GB2312" w:eastAsia="仿宋_GB2312"/>
        </w:rPr>
        <w:t>详见附件：保险内容.docx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详见附件：项目组成员.docx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详见附件：赔付限额.docx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