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B49EC">
      <w:pPr>
        <w:pageBreakBefore w:val="0"/>
        <w:widowControl w:val="0"/>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color w:val="auto"/>
          <w:kern w:val="2"/>
          <w:sz w:val="40"/>
          <w:szCs w:val="40"/>
          <w:u w:val="single"/>
        </w:rPr>
      </w:pPr>
      <w:r>
        <w:rPr>
          <w:rFonts w:hint="eastAsia" w:ascii="仿宋" w:hAnsi="仿宋" w:eastAsia="仿宋" w:cs="仿宋"/>
          <w:b/>
          <w:color w:val="auto"/>
          <w:kern w:val="2"/>
          <w:sz w:val="40"/>
          <w:szCs w:val="40"/>
        </w:rPr>
        <w:t>合同编号：</w:t>
      </w:r>
      <w:r>
        <w:rPr>
          <w:rFonts w:hint="eastAsia" w:ascii="仿宋" w:hAnsi="仿宋" w:eastAsia="仿宋" w:cs="仿宋"/>
          <w:b/>
          <w:color w:val="auto"/>
          <w:kern w:val="2"/>
          <w:sz w:val="40"/>
          <w:szCs w:val="40"/>
          <w:u w:val="single"/>
        </w:rPr>
        <w:t xml:space="preserve">             </w:t>
      </w:r>
    </w:p>
    <w:p w14:paraId="732A2A07">
      <w:pPr>
        <w:pageBreakBefore w:val="0"/>
        <w:widowControl w:val="0"/>
        <w:kinsoku/>
        <w:wordWrap/>
        <w:overflowPunct/>
        <w:topLinePunct w:val="0"/>
        <w:autoSpaceDE/>
        <w:autoSpaceDN/>
        <w:bidi w:val="0"/>
        <w:adjustRightInd/>
        <w:snapToGrid/>
        <w:spacing w:line="360" w:lineRule="auto"/>
        <w:ind w:left="0" w:leftChars="0" w:right="0" w:rightChars="0" w:firstLine="800" w:firstLineChars="200"/>
        <w:jc w:val="right"/>
        <w:textAlignment w:val="auto"/>
        <w:rPr>
          <w:rFonts w:hint="eastAsia" w:ascii="仿宋" w:hAnsi="仿宋" w:eastAsia="仿宋" w:cs="仿宋"/>
          <w:bCs/>
          <w:color w:val="auto"/>
          <w:kern w:val="2"/>
          <w:sz w:val="40"/>
          <w:szCs w:val="40"/>
        </w:rPr>
      </w:pPr>
    </w:p>
    <w:p w14:paraId="611169F6">
      <w:pPr>
        <w:pageBreakBefore w:val="0"/>
        <w:widowControl w:val="0"/>
        <w:kinsoku/>
        <w:wordWrap/>
        <w:overflowPunct/>
        <w:topLinePunct w:val="0"/>
        <w:autoSpaceDE/>
        <w:autoSpaceDN/>
        <w:bidi w:val="0"/>
        <w:adjustRightInd/>
        <w:snapToGrid/>
        <w:spacing w:line="360" w:lineRule="auto"/>
        <w:ind w:left="0" w:leftChars="0" w:right="0" w:rightChars="0" w:firstLine="800" w:firstLineChars="200"/>
        <w:jc w:val="center"/>
        <w:textAlignment w:val="auto"/>
        <w:rPr>
          <w:rFonts w:hint="eastAsia" w:ascii="仿宋" w:hAnsi="仿宋" w:eastAsia="仿宋" w:cs="仿宋"/>
          <w:bCs/>
          <w:color w:val="auto"/>
          <w:kern w:val="2"/>
          <w:sz w:val="40"/>
          <w:szCs w:val="40"/>
        </w:rPr>
      </w:pPr>
    </w:p>
    <w:p w14:paraId="6C23C4CB">
      <w:pPr>
        <w:pageBreakBefore w:val="0"/>
        <w:widowControl w:val="0"/>
        <w:kinsoku/>
        <w:wordWrap/>
        <w:overflowPunct/>
        <w:topLinePunct w:val="0"/>
        <w:autoSpaceDE/>
        <w:autoSpaceDN/>
        <w:bidi w:val="0"/>
        <w:adjustRightInd/>
        <w:snapToGrid/>
        <w:spacing w:line="360" w:lineRule="auto"/>
        <w:ind w:left="0" w:leftChars="0" w:right="0" w:rightChars="0" w:firstLine="803" w:firstLineChars="200"/>
        <w:jc w:val="center"/>
        <w:textAlignment w:val="auto"/>
        <w:rPr>
          <w:rFonts w:hint="eastAsia" w:ascii="仿宋" w:hAnsi="仿宋" w:eastAsia="仿宋" w:cs="仿宋"/>
          <w:b/>
          <w:color w:val="auto"/>
          <w:kern w:val="2"/>
          <w:sz w:val="40"/>
          <w:szCs w:val="40"/>
        </w:rPr>
      </w:pPr>
    </w:p>
    <w:p w14:paraId="79253382">
      <w:pPr>
        <w:pageBreakBefore w:val="0"/>
        <w:widowControl w:val="0"/>
        <w:kinsoku/>
        <w:wordWrap/>
        <w:overflowPunct/>
        <w:topLinePunct w:val="0"/>
        <w:autoSpaceDE/>
        <w:autoSpaceDN/>
        <w:bidi w:val="0"/>
        <w:adjustRightInd/>
        <w:snapToGrid/>
        <w:spacing w:line="360" w:lineRule="auto"/>
        <w:ind w:left="0" w:leftChars="0" w:right="0" w:rightChars="0" w:firstLine="803" w:firstLineChars="200"/>
        <w:jc w:val="center"/>
        <w:textAlignment w:val="auto"/>
        <w:rPr>
          <w:rFonts w:hint="eastAsia" w:ascii="仿宋" w:hAnsi="仿宋" w:eastAsia="仿宋" w:cs="仿宋"/>
          <w:b/>
          <w:color w:val="auto"/>
          <w:kern w:val="2"/>
          <w:sz w:val="40"/>
          <w:szCs w:val="40"/>
        </w:rPr>
      </w:pPr>
    </w:p>
    <w:p w14:paraId="16CD530C">
      <w:pPr>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color w:val="auto"/>
          <w:kern w:val="2"/>
          <w:sz w:val="48"/>
          <w:szCs w:val="48"/>
          <w:lang w:eastAsia="zh-CN"/>
        </w:rPr>
      </w:pPr>
      <w:r>
        <w:rPr>
          <w:rFonts w:hint="eastAsia" w:ascii="仿宋" w:hAnsi="仿宋" w:eastAsia="仿宋" w:cs="仿宋"/>
          <w:b/>
          <w:color w:val="auto"/>
          <w:kern w:val="2"/>
          <w:sz w:val="48"/>
          <w:szCs w:val="48"/>
          <w:lang w:eastAsia="zh-CN"/>
        </w:rPr>
        <w:t>CB3-2-135号宗地文勘清表、垃圾清运项目</w:t>
      </w:r>
    </w:p>
    <w:p w14:paraId="68226962">
      <w:pPr>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color w:val="auto"/>
          <w:kern w:val="2"/>
          <w:sz w:val="48"/>
          <w:szCs w:val="48"/>
          <w:lang w:eastAsia="zh-CN"/>
        </w:rPr>
      </w:pPr>
    </w:p>
    <w:p w14:paraId="00F229C4">
      <w:pPr>
        <w:pageBreakBefore w:val="0"/>
        <w:widowControl w:val="0"/>
        <w:kinsoku/>
        <w:wordWrap/>
        <w:overflowPunct/>
        <w:topLinePunct w:val="0"/>
        <w:autoSpaceDE/>
        <w:autoSpaceDN/>
        <w:bidi w:val="0"/>
        <w:adjustRightInd/>
        <w:snapToGrid/>
        <w:spacing w:line="360" w:lineRule="auto"/>
        <w:ind w:right="0" w:rightChars="0"/>
        <w:jc w:val="center"/>
        <w:textAlignment w:val="auto"/>
        <w:rPr>
          <w:rFonts w:hint="default" w:ascii="仿宋" w:hAnsi="仿宋" w:eastAsia="仿宋" w:cs="仿宋"/>
          <w:b/>
          <w:color w:val="auto"/>
          <w:kern w:val="2"/>
          <w:sz w:val="48"/>
          <w:szCs w:val="48"/>
          <w:lang w:val="en-US" w:eastAsia="zh-CN"/>
        </w:rPr>
      </w:pPr>
      <w:r>
        <w:rPr>
          <w:rFonts w:hint="eastAsia" w:ascii="仿宋" w:hAnsi="仿宋" w:eastAsia="仿宋" w:cs="仿宋"/>
          <w:b/>
          <w:color w:val="auto"/>
          <w:kern w:val="2"/>
          <w:sz w:val="48"/>
          <w:szCs w:val="48"/>
          <w:lang w:val="en-US" w:eastAsia="zh-CN"/>
        </w:rPr>
        <w:t>合同书</w:t>
      </w:r>
    </w:p>
    <w:p w14:paraId="3BB758A8">
      <w:pPr>
        <w:pageBreakBefore w:val="0"/>
        <w:widowControl w:val="0"/>
        <w:kinsoku/>
        <w:wordWrap/>
        <w:overflowPunct/>
        <w:topLinePunct w:val="0"/>
        <w:autoSpaceDE/>
        <w:autoSpaceDN/>
        <w:bidi w:val="0"/>
        <w:adjustRightInd/>
        <w:snapToGrid/>
        <w:spacing w:line="360" w:lineRule="auto"/>
        <w:ind w:left="0" w:leftChars="0" w:right="0" w:rightChars="0" w:firstLine="964" w:firstLineChars="200"/>
        <w:jc w:val="center"/>
        <w:textAlignment w:val="auto"/>
        <w:rPr>
          <w:rFonts w:hint="eastAsia" w:ascii="仿宋" w:hAnsi="仿宋" w:eastAsia="仿宋" w:cs="仿宋"/>
          <w:b/>
          <w:color w:val="auto"/>
          <w:kern w:val="2"/>
          <w:sz w:val="48"/>
          <w:szCs w:val="48"/>
        </w:rPr>
      </w:pPr>
      <w:r>
        <w:rPr>
          <w:rFonts w:hint="eastAsia" w:ascii="仿宋" w:hAnsi="仿宋" w:eastAsia="仿宋" w:cs="仿宋"/>
          <w:b/>
          <w:color w:val="auto"/>
          <w:kern w:val="2"/>
          <w:sz w:val="48"/>
          <w:szCs w:val="48"/>
        </w:rPr>
        <w:br w:type="textWrapping"/>
      </w:r>
    </w:p>
    <w:p w14:paraId="130EA8D4">
      <w:pPr>
        <w:pageBreakBefore w:val="0"/>
        <w:widowControl w:val="0"/>
        <w:kinsoku/>
        <w:wordWrap/>
        <w:overflowPunct/>
        <w:topLinePunct w:val="0"/>
        <w:autoSpaceDE/>
        <w:autoSpaceDN/>
        <w:bidi w:val="0"/>
        <w:adjustRightInd/>
        <w:snapToGrid/>
        <w:spacing w:line="360" w:lineRule="auto"/>
        <w:ind w:left="0" w:leftChars="0" w:right="0" w:rightChars="0" w:firstLine="803" w:firstLineChars="200"/>
        <w:jc w:val="center"/>
        <w:textAlignment w:val="auto"/>
        <w:rPr>
          <w:rFonts w:hint="eastAsia" w:ascii="仿宋" w:hAnsi="仿宋" w:eastAsia="仿宋" w:cs="仿宋"/>
          <w:b/>
          <w:color w:val="auto"/>
          <w:kern w:val="2"/>
          <w:sz w:val="40"/>
          <w:szCs w:val="40"/>
        </w:rPr>
      </w:pPr>
      <w:r>
        <w:rPr>
          <w:rFonts w:hint="eastAsia" w:ascii="仿宋" w:hAnsi="仿宋" w:eastAsia="仿宋" w:cs="仿宋"/>
          <w:b/>
          <w:color w:val="auto"/>
          <w:kern w:val="2"/>
          <w:sz w:val="40"/>
          <w:szCs w:val="40"/>
        </w:rPr>
        <w:br w:type="textWrapping"/>
      </w:r>
    </w:p>
    <w:p w14:paraId="47A71AD7">
      <w:pPr>
        <w:pageBreakBefore w:val="0"/>
        <w:widowControl w:val="0"/>
        <w:kinsoku/>
        <w:wordWrap/>
        <w:overflowPunct/>
        <w:topLinePunct w:val="0"/>
        <w:autoSpaceDE/>
        <w:autoSpaceDN/>
        <w:bidi w:val="0"/>
        <w:adjustRightInd/>
        <w:snapToGrid/>
        <w:spacing w:line="360" w:lineRule="auto"/>
        <w:ind w:left="0" w:leftChars="0" w:right="0" w:rightChars="0" w:firstLine="803" w:firstLineChars="200"/>
        <w:jc w:val="center"/>
        <w:textAlignment w:val="auto"/>
        <w:rPr>
          <w:rFonts w:hint="eastAsia" w:ascii="仿宋" w:hAnsi="仿宋" w:eastAsia="仿宋" w:cs="仿宋"/>
          <w:b/>
          <w:color w:val="auto"/>
          <w:kern w:val="2"/>
          <w:sz w:val="40"/>
          <w:szCs w:val="40"/>
        </w:rPr>
      </w:pPr>
    </w:p>
    <w:p w14:paraId="152F9277">
      <w:pPr>
        <w:pageBreakBefore w:val="0"/>
        <w:kinsoku/>
        <w:wordWrap/>
        <w:overflowPunct/>
        <w:topLinePunct w:val="0"/>
        <w:autoSpaceDE/>
        <w:autoSpaceDN/>
        <w:bidi w:val="0"/>
        <w:adjustRightInd/>
        <w:snapToGrid/>
        <w:spacing w:line="360" w:lineRule="auto"/>
        <w:ind w:left="0" w:leftChars="0" w:right="0" w:rightChars="0" w:firstLine="720" w:firstLineChars="200"/>
        <w:textAlignment w:val="auto"/>
        <w:rPr>
          <w:rFonts w:hint="eastAsia" w:ascii="仿宋" w:hAnsi="仿宋" w:eastAsia="仿宋" w:cs="仿宋"/>
          <w:color w:val="auto"/>
          <w:kern w:val="2"/>
          <w:sz w:val="36"/>
          <w:szCs w:val="36"/>
        </w:rPr>
      </w:pPr>
      <w:r>
        <w:rPr>
          <w:rFonts w:hint="eastAsia" w:ascii="仿宋" w:hAnsi="仿宋" w:eastAsia="仿宋" w:cs="仿宋"/>
          <w:color w:val="auto"/>
          <w:kern w:val="2"/>
          <w:sz w:val="36"/>
          <w:szCs w:val="36"/>
          <w:lang w:val="en-US" w:eastAsia="zh-CN"/>
        </w:rPr>
        <w:t>甲方（采购人）</w:t>
      </w:r>
      <w:r>
        <w:rPr>
          <w:rFonts w:hint="eastAsia" w:ascii="仿宋" w:hAnsi="仿宋" w:eastAsia="仿宋" w:cs="仿宋"/>
          <w:color w:val="auto"/>
          <w:kern w:val="2"/>
          <w:sz w:val="36"/>
          <w:szCs w:val="36"/>
        </w:rPr>
        <w:t>：</w:t>
      </w:r>
      <w:r>
        <w:rPr>
          <w:rFonts w:hint="eastAsia" w:ascii="仿宋" w:hAnsi="仿宋" w:eastAsia="仿宋" w:cs="仿宋"/>
          <w:color w:val="auto"/>
          <w:sz w:val="36"/>
          <w:szCs w:val="36"/>
          <w:u w:val="single"/>
          <w:lang w:bidi="ar"/>
        </w:rPr>
        <w:t xml:space="preserve">   </w:t>
      </w:r>
      <w:r>
        <w:rPr>
          <w:rFonts w:hint="eastAsia" w:ascii="仿宋" w:hAnsi="仿宋" w:eastAsia="仿宋" w:cs="仿宋"/>
          <w:color w:val="auto"/>
          <w:sz w:val="36"/>
          <w:szCs w:val="36"/>
          <w:u w:val="single"/>
          <w:lang w:val="en-US" w:eastAsia="zh-CN" w:bidi="ar"/>
        </w:rPr>
        <w:t xml:space="preserve">                                        </w:t>
      </w:r>
    </w:p>
    <w:p w14:paraId="1186C3DA">
      <w:pPr>
        <w:pageBreakBefore w:val="0"/>
        <w:widowControl w:val="0"/>
        <w:kinsoku/>
        <w:wordWrap/>
        <w:overflowPunct/>
        <w:topLinePunct w:val="0"/>
        <w:autoSpaceDE/>
        <w:autoSpaceDN/>
        <w:bidi w:val="0"/>
        <w:adjustRightInd/>
        <w:snapToGrid/>
        <w:spacing w:line="360" w:lineRule="auto"/>
        <w:ind w:left="0" w:leftChars="0" w:right="0" w:rightChars="0" w:firstLine="720" w:firstLineChars="200"/>
        <w:textAlignment w:val="auto"/>
        <w:rPr>
          <w:rFonts w:hint="eastAsia" w:ascii="仿宋" w:hAnsi="仿宋" w:eastAsia="仿宋" w:cs="仿宋"/>
          <w:color w:val="auto"/>
          <w:kern w:val="2"/>
          <w:sz w:val="36"/>
          <w:szCs w:val="36"/>
          <w:u w:val="single"/>
        </w:rPr>
      </w:pPr>
      <w:r>
        <w:rPr>
          <w:rFonts w:hint="eastAsia" w:ascii="仿宋" w:hAnsi="仿宋" w:eastAsia="仿宋" w:cs="仿宋"/>
          <w:color w:val="auto"/>
          <w:kern w:val="2"/>
          <w:sz w:val="36"/>
          <w:szCs w:val="36"/>
          <w:lang w:val="en-US" w:eastAsia="zh-CN"/>
        </w:rPr>
        <w:t>乙方（供应商）</w:t>
      </w:r>
      <w:r>
        <w:rPr>
          <w:rFonts w:hint="eastAsia" w:ascii="仿宋" w:hAnsi="仿宋" w:eastAsia="仿宋" w:cs="仿宋"/>
          <w:color w:val="auto"/>
          <w:kern w:val="2"/>
          <w:sz w:val="36"/>
          <w:szCs w:val="36"/>
        </w:rPr>
        <w:t>：</w:t>
      </w:r>
      <w:r>
        <w:rPr>
          <w:rFonts w:hint="eastAsia" w:ascii="仿宋" w:hAnsi="仿宋" w:eastAsia="仿宋" w:cs="仿宋"/>
          <w:color w:val="auto"/>
          <w:kern w:val="2"/>
          <w:sz w:val="36"/>
          <w:szCs w:val="36"/>
          <w:u w:val="single"/>
        </w:rPr>
        <w:t xml:space="preserve">       </w:t>
      </w:r>
      <w:r>
        <w:rPr>
          <w:rFonts w:hint="eastAsia" w:ascii="仿宋" w:hAnsi="仿宋" w:eastAsia="仿宋" w:cs="仿宋"/>
          <w:color w:val="auto"/>
          <w:sz w:val="36"/>
          <w:szCs w:val="36"/>
          <w:u w:val="single"/>
          <w:lang w:bidi="ar"/>
        </w:rPr>
        <w:t xml:space="preserve">                            </w:t>
      </w:r>
      <w:r>
        <w:rPr>
          <w:rFonts w:hint="eastAsia" w:ascii="仿宋" w:hAnsi="仿宋" w:eastAsia="仿宋" w:cs="仿宋"/>
          <w:color w:val="auto"/>
          <w:kern w:val="2"/>
          <w:sz w:val="36"/>
          <w:szCs w:val="36"/>
          <w:u w:val="single"/>
        </w:rPr>
        <w:t xml:space="preserve">       </w:t>
      </w:r>
    </w:p>
    <w:p w14:paraId="025B754B">
      <w:pPr>
        <w:pageBreakBefore w:val="0"/>
        <w:widowControl w:val="0"/>
        <w:kinsoku/>
        <w:wordWrap/>
        <w:overflowPunct/>
        <w:topLinePunct w:val="0"/>
        <w:autoSpaceDE/>
        <w:autoSpaceDN/>
        <w:bidi w:val="0"/>
        <w:adjustRightInd/>
        <w:snapToGrid/>
        <w:spacing w:line="360" w:lineRule="auto"/>
        <w:ind w:left="0" w:leftChars="0" w:right="0" w:rightChars="0" w:firstLine="720" w:firstLineChars="200"/>
        <w:textAlignment w:val="auto"/>
        <w:rPr>
          <w:rFonts w:hint="eastAsia" w:ascii="仿宋" w:hAnsi="仿宋" w:eastAsia="仿宋" w:cs="仿宋"/>
          <w:color w:val="auto"/>
          <w:kern w:val="2"/>
          <w:sz w:val="40"/>
          <w:szCs w:val="40"/>
          <w:u w:val="single"/>
        </w:rPr>
        <w:sectPr>
          <w:footerReference r:id="rId5" w:type="default"/>
          <w:pgSz w:w="11906" w:h="16838"/>
          <w:pgMar w:top="1417" w:right="1417" w:bottom="1417" w:left="1417" w:header="851" w:footer="992" w:gutter="0"/>
          <w:pgNumType w:fmt="decimal" w:start="1"/>
          <w:cols w:space="0" w:num="1"/>
          <w:rtlGutter w:val="0"/>
          <w:docGrid w:type="lines" w:linePitch="312" w:charSpace="0"/>
        </w:sectPr>
      </w:pPr>
      <w:r>
        <w:rPr>
          <w:rFonts w:hint="eastAsia" w:ascii="仿宋" w:hAnsi="仿宋" w:eastAsia="仿宋" w:cs="仿宋"/>
          <w:color w:val="auto"/>
          <w:kern w:val="2"/>
          <w:sz w:val="36"/>
          <w:szCs w:val="36"/>
        </w:rPr>
        <w:t>签订日期：</w:t>
      </w:r>
      <w:r>
        <w:rPr>
          <w:rFonts w:hint="eastAsia" w:ascii="仿宋" w:hAnsi="仿宋" w:eastAsia="仿宋" w:cs="仿宋"/>
          <w:color w:val="auto"/>
          <w:kern w:val="2"/>
          <w:sz w:val="36"/>
          <w:szCs w:val="36"/>
          <w:u w:val="single"/>
        </w:rPr>
        <w:t xml:space="preserve">                                </w:t>
      </w:r>
      <w:r>
        <w:rPr>
          <w:rFonts w:hint="eastAsia" w:ascii="仿宋" w:hAnsi="仿宋" w:eastAsia="仿宋" w:cs="仿宋"/>
          <w:color w:val="auto"/>
          <w:kern w:val="2"/>
          <w:sz w:val="40"/>
          <w:szCs w:val="40"/>
          <w:u w:val="single"/>
        </w:rPr>
        <w:t xml:space="preserve">          </w:t>
      </w:r>
    </w:p>
    <w:p w14:paraId="0F20BC18">
      <w:pPr>
        <w:spacing w:line="360" w:lineRule="auto"/>
        <w:ind w:firstLine="0" w:firstLineChars="0"/>
        <w:jc w:val="center"/>
        <w:rPr>
          <w:rFonts w:hint="default" w:ascii="仿宋_GB2312" w:hAnsi="仿宋_GB2312" w:eastAsia="仿宋_GB2312" w:cs="仿宋_GB2312"/>
          <w:b/>
          <w:bCs/>
          <w:color w:val="auto"/>
          <w:kern w:val="0"/>
          <w:sz w:val="20"/>
          <w:szCs w:val="20"/>
          <w:lang w:val="en-US" w:eastAsia="zh-CN"/>
        </w:rPr>
      </w:pPr>
      <w:r>
        <w:rPr>
          <w:rFonts w:hint="eastAsia" w:ascii="仿宋_GB2312" w:hAnsi="仿宋_GB2312" w:eastAsia="仿宋_GB2312" w:cs="仿宋_GB2312"/>
          <w:b/>
          <w:bCs/>
          <w:color w:val="auto"/>
          <w:kern w:val="0"/>
          <w:sz w:val="20"/>
          <w:szCs w:val="20"/>
          <w:lang w:val="en-US" w:eastAsia="zh-CN"/>
        </w:rPr>
        <w:t>第一部分 合同协议书</w:t>
      </w:r>
    </w:p>
    <w:p w14:paraId="11186BE6">
      <w:pPr>
        <w:spacing w:line="360" w:lineRule="auto"/>
        <w:ind w:firstLine="0" w:firstLineChars="0"/>
        <w:rPr>
          <w:rFonts w:hint="default" w:ascii="仿宋_GB2312" w:hAnsi="仿宋_GB2312" w:eastAsia="仿宋_GB2312" w:cs="仿宋_GB2312"/>
          <w:color w:val="auto"/>
          <w:kern w:val="0"/>
          <w:sz w:val="20"/>
          <w:szCs w:val="20"/>
          <w:u w:val="single"/>
          <w:lang w:val="en-US" w:eastAsia="zh-CN"/>
        </w:rPr>
      </w:pPr>
      <w:r>
        <w:rPr>
          <w:rFonts w:hint="eastAsia" w:ascii="仿宋_GB2312" w:hAnsi="仿宋_GB2312" w:eastAsia="仿宋_GB2312" w:cs="仿宋_GB2312"/>
          <w:color w:val="auto"/>
          <w:kern w:val="0"/>
          <w:sz w:val="20"/>
          <w:szCs w:val="20"/>
          <w:lang w:val="en-US" w:eastAsia="zh-Hans"/>
        </w:rPr>
        <w:t>甲方（采购人）：</w:t>
      </w:r>
      <w:r>
        <w:rPr>
          <w:rFonts w:hint="eastAsia" w:ascii="仿宋_GB2312" w:hAnsi="仿宋_GB2312" w:eastAsia="仿宋_GB2312" w:cs="仿宋_GB2312"/>
          <w:color w:val="auto"/>
          <w:kern w:val="0"/>
          <w:sz w:val="20"/>
          <w:szCs w:val="20"/>
          <w:u w:val="single"/>
          <w:lang w:val="en-US" w:eastAsia="zh-CN"/>
        </w:rPr>
        <w:t xml:space="preserve">                     </w:t>
      </w:r>
    </w:p>
    <w:p w14:paraId="1F2A3E34">
      <w:pPr>
        <w:spacing w:line="360" w:lineRule="auto"/>
        <w:ind w:firstLine="0" w:firstLineChars="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Hans"/>
        </w:rPr>
        <w:t>乙方（供应商）：</w:t>
      </w:r>
      <w:r>
        <w:rPr>
          <w:rFonts w:hint="eastAsia" w:ascii="仿宋_GB2312" w:hAnsi="仿宋_GB2312" w:eastAsia="仿宋_GB2312" w:cs="仿宋_GB2312"/>
          <w:color w:val="auto"/>
          <w:kern w:val="0"/>
          <w:sz w:val="20"/>
          <w:szCs w:val="20"/>
          <w:u w:val="single"/>
          <w:lang w:val="en-US" w:eastAsia="zh-CN"/>
        </w:rPr>
        <w:t xml:space="preserve">                     </w:t>
      </w:r>
    </w:p>
    <w:p w14:paraId="697FD41D">
      <w:pPr>
        <w:spacing w:line="360" w:lineRule="auto"/>
        <w:ind w:left="0" w:leftChars="0" w:firstLine="400" w:firstLineChars="20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依照《中华人民共和国民法典》、《中华人民共和国政府采购法》等法律、行政法规，遵循平等、自愿、公平和诚实信用的原则，双方就本项目的文勘清表</w:t>
      </w:r>
      <w:r>
        <w:rPr>
          <w:rFonts w:hint="eastAsia" w:ascii="仿宋_GB2312" w:hAnsi="仿宋_GB2312" w:eastAsia="仿宋_GB2312" w:cs="仿宋_GB2312"/>
          <w:color w:val="auto"/>
          <w:kern w:val="0"/>
          <w:sz w:val="20"/>
          <w:szCs w:val="20"/>
          <w:lang w:val="en-US" w:eastAsia="zh-CN"/>
        </w:rPr>
        <w:t>、</w:t>
      </w:r>
      <w:r>
        <w:rPr>
          <w:rFonts w:hint="eastAsia" w:ascii="仿宋_GB2312" w:hAnsi="仿宋_GB2312" w:eastAsia="仿宋_GB2312" w:cs="仿宋_GB2312"/>
          <w:color w:val="auto"/>
          <w:kern w:val="0"/>
          <w:sz w:val="20"/>
          <w:szCs w:val="20"/>
          <w:lang w:val="en-US" w:eastAsia="zh-Hans"/>
        </w:rPr>
        <w:t>垃圾清运事项订立本合同，甲方CB3-2-135号宗地文勘清表、垃圾清运项目由乙方承揽，乙方愿按本合同约定的付款方式承担本合同范围内垃圾清运等任务，双方达成如下合同：</w:t>
      </w:r>
    </w:p>
    <w:p w14:paraId="6E1D4D8A">
      <w:pPr>
        <w:spacing w:line="360" w:lineRule="auto"/>
        <w:ind w:firstLine="482"/>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一、项目概况：</w:t>
      </w:r>
    </w:p>
    <w:p w14:paraId="3A233373">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CB3-2-135号宗地位于世博大道以北、欧亚大道以东、锦堤四路以西、盛槐路以南，宗地面积约25.21亩，为加快推进园区拟出让地块文勘工作，产业园拟对CB3-2-135号宗地实施水泥地面破碎、文勘清表、垃圾清运，确保文勘工作顺利推进。</w:t>
      </w:r>
    </w:p>
    <w:p w14:paraId="6776005B">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2.服务期限：自合同签订之日起20日内完成项目。</w:t>
      </w:r>
    </w:p>
    <w:p w14:paraId="42246763">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3.服务标准：</w:t>
      </w:r>
    </w:p>
    <w:p w14:paraId="0350542D">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3.1垃圾清运干净，现场无遗留物，达到文勘实施条件。</w:t>
      </w:r>
    </w:p>
    <w:p w14:paraId="72C95BFF">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3.2建筑垃圾要清运至正规建筑垃圾消纳场、回填点或项目工地等，不扬尘、不撒漏、不随意倾倒垃圾，必须按有关规定及要求做好防尘降噪措施。</w:t>
      </w:r>
    </w:p>
    <w:p w14:paraId="753E0C6F">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3.3清运中不能超载，做好蓬盖，落实好安全文明生产及治污减霾工作。</w:t>
      </w:r>
    </w:p>
    <w:p w14:paraId="36817D0C">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3.4项目在垃圾清运过程中，应采取围挡及覆盖的方式满足治污减霾工作要求。</w:t>
      </w:r>
    </w:p>
    <w:p w14:paraId="3B2B6D5D">
      <w:pPr>
        <w:spacing w:line="360" w:lineRule="auto"/>
        <w:ind w:firstLine="482"/>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二、合同的组成部分：</w:t>
      </w:r>
    </w:p>
    <w:p w14:paraId="6CCE6D88">
      <w:pPr>
        <w:spacing w:line="360" w:lineRule="auto"/>
        <w:ind w:firstLine="48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Hans"/>
        </w:rPr>
        <w:t>1.</w:t>
      </w:r>
      <w:r>
        <w:rPr>
          <w:rFonts w:hint="eastAsia" w:ascii="仿宋_GB2312" w:hAnsi="仿宋_GB2312" w:eastAsia="仿宋_GB2312" w:cs="仿宋_GB2312"/>
          <w:color w:val="auto"/>
          <w:kern w:val="0"/>
          <w:sz w:val="20"/>
          <w:szCs w:val="20"/>
          <w:lang w:val="en-US" w:eastAsia="zh-CN"/>
        </w:rPr>
        <w:t>合同协议书</w:t>
      </w:r>
    </w:p>
    <w:p w14:paraId="53FF57CE">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2.</w:t>
      </w:r>
      <w:r>
        <w:rPr>
          <w:rFonts w:hint="eastAsia" w:ascii="仿宋_GB2312" w:hAnsi="仿宋_GB2312" w:eastAsia="仿宋_GB2312" w:cs="仿宋_GB2312"/>
          <w:color w:val="auto"/>
          <w:kern w:val="0"/>
          <w:sz w:val="20"/>
          <w:szCs w:val="20"/>
          <w:lang w:val="en-US" w:eastAsia="zh-Hans"/>
        </w:rPr>
        <w:t>乙方的</w:t>
      </w:r>
      <w:r>
        <w:rPr>
          <w:rFonts w:hint="eastAsia" w:ascii="仿宋_GB2312" w:hAnsi="仿宋_GB2312" w:eastAsia="仿宋_GB2312" w:cs="仿宋_GB2312"/>
          <w:color w:val="auto"/>
          <w:kern w:val="0"/>
          <w:sz w:val="20"/>
          <w:szCs w:val="20"/>
          <w:lang w:val="en-US" w:eastAsia="zh-CN"/>
        </w:rPr>
        <w:t>响应</w:t>
      </w:r>
      <w:r>
        <w:rPr>
          <w:rFonts w:hint="eastAsia" w:ascii="仿宋_GB2312" w:hAnsi="仿宋_GB2312" w:eastAsia="仿宋_GB2312" w:cs="仿宋_GB2312"/>
          <w:color w:val="auto"/>
          <w:kern w:val="0"/>
          <w:sz w:val="20"/>
          <w:szCs w:val="20"/>
          <w:lang w:val="en-US" w:eastAsia="zh-Hans"/>
        </w:rPr>
        <w:t>文件；</w:t>
      </w:r>
    </w:p>
    <w:p w14:paraId="54EF48C7">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3</w:t>
      </w: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CN"/>
        </w:rPr>
        <w:t>竞争性磋商</w:t>
      </w:r>
      <w:r>
        <w:rPr>
          <w:rFonts w:hint="eastAsia" w:ascii="仿宋_GB2312" w:hAnsi="仿宋_GB2312" w:eastAsia="仿宋_GB2312" w:cs="仿宋_GB2312"/>
          <w:color w:val="auto"/>
          <w:kern w:val="0"/>
          <w:sz w:val="20"/>
          <w:szCs w:val="20"/>
          <w:lang w:val="en-US" w:eastAsia="zh-Hans"/>
        </w:rPr>
        <w:t>文件及补充文件；</w:t>
      </w:r>
    </w:p>
    <w:p w14:paraId="124483D7">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4</w:t>
      </w:r>
      <w:r>
        <w:rPr>
          <w:rFonts w:hint="eastAsia" w:ascii="仿宋_GB2312" w:hAnsi="仿宋_GB2312" w:eastAsia="仿宋_GB2312" w:cs="仿宋_GB2312"/>
          <w:color w:val="auto"/>
          <w:kern w:val="0"/>
          <w:sz w:val="20"/>
          <w:szCs w:val="20"/>
          <w:lang w:val="en-US" w:eastAsia="zh-Hans"/>
        </w:rPr>
        <w:t>.标准、规范和有关技术资料；</w:t>
      </w:r>
    </w:p>
    <w:p w14:paraId="4525C033">
      <w:pPr>
        <w:spacing w:line="360" w:lineRule="auto"/>
        <w:ind w:firstLine="48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5</w:t>
      </w:r>
      <w:r>
        <w:rPr>
          <w:rFonts w:hint="eastAsia" w:ascii="仿宋_GB2312" w:hAnsi="仿宋_GB2312" w:eastAsia="仿宋_GB2312" w:cs="仿宋_GB2312"/>
          <w:color w:val="auto"/>
          <w:kern w:val="0"/>
          <w:sz w:val="20"/>
          <w:szCs w:val="20"/>
          <w:lang w:val="en-US" w:eastAsia="zh-Hans"/>
        </w:rPr>
        <w:t>.其他有关文件。</w:t>
      </w:r>
    </w:p>
    <w:p w14:paraId="7635E7CB">
      <w:pPr>
        <w:spacing w:line="360" w:lineRule="auto"/>
        <w:ind w:firstLine="482"/>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三、合同价款</w:t>
      </w:r>
    </w:p>
    <w:p w14:paraId="631F70F5">
      <w:pPr>
        <w:spacing w:line="360" w:lineRule="auto"/>
        <w:ind w:firstLine="482"/>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本合同为</w:t>
      </w:r>
      <w:r>
        <w:rPr>
          <w:rFonts w:hint="eastAsia" w:ascii="仿宋_GB2312" w:hAnsi="仿宋_GB2312" w:eastAsia="仿宋_GB2312" w:cs="仿宋_GB2312"/>
          <w:color w:val="auto"/>
          <w:kern w:val="0"/>
          <w:sz w:val="20"/>
          <w:szCs w:val="20"/>
          <w:u w:val="single"/>
          <w:lang w:val="en-US" w:eastAsia="zh-Hans"/>
        </w:rPr>
        <w:t>全费用综合单价</w:t>
      </w:r>
      <w:r>
        <w:rPr>
          <w:rFonts w:hint="eastAsia" w:ascii="仿宋_GB2312" w:hAnsi="仿宋_GB2312" w:eastAsia="仿宋_GB2312" w:cs="仿宋_GB2312"/>
          <w:color w:val="auto"/>
          <w:kern w:val="0"/>
          <w:sz w:val="20"/>
          <w:szCs w:val="20"/>
          <w:lang w:val="en-US" w:eastAsia="zh-Hans"/>
        </w:rPr>
        <w:t>，报价包括招标范围中发生的人工费、机械费、材料费、管理费、利润、税金、保险费、招标代理费等产生的全部费用，包含完成本项目必须的各种其他费用以及潜在的各种风险。</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325"/>
        <w:gridCol w:w="1080"/>
        <w:gridCol w:w="1565"/>
        <w:gridCol w:w="2012"/>
        <w:gridCol w:w="747"/>
      </w:tblGrid>
      <w:tr w14:paraId="1BB42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691" w:type="dxa"/>
            <w:vAlign w:val="center"/>
          </w:tcPr>
          <w:p w14:paraId="7B81B019">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序号</w:t>
            </w:r>
          </w:p>
        </w:tc>
        <w:tc>
          <w:tcPr>
            <w:tcW w:w="1325" w:type="dxa"/>
            <w:vAlign w:val="center"/>
          </w:tcPr>
          <w:p w14:paraId="3FB2262D">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服务内容</w:t>
            </w:r>
          </w:p>
        </w:tc>
        <w:tc>
          <w:tcPr>
            <w:tcW w:w="1080" w:type="dxa"/>
            <w:vAlign w:val="center"/>
          </w:tcPr>
          <w:p w14:paraId="4A0A0C05">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工程</w:t>
            </w:r>
            <w:r>
              <w:rPr>
                <w:rFonts w:hint="eastAsia" w:ascii="仿宋_GB2312" w:hAnsi="仿宋_GB2312" w:eastAsia="仿宋_GB2312" w:cs="仿宋_GB2312"/>
                <w:color w:val="auto"/>
                <w:kern w:val="0"/>
                <w:sz w:val="20"/>
                <w:szCs w:val="20"/>
                <w:lang w:val="en-US" w:eastAsia="zh-Hans"/>
              </w:rPr>
              <w:t>量</w:t>
            </w:r>
          </w:p>
        </w:tc>
        <w:tc>
          <w:tcPr>
            <w:tcW w:w="1565" w:type="dxa"/>
            <w:vAlign w:val="center"/>
          </w:tcPr>
          <w:p w14:paraId="336D5E32">
            <w:pPr>
              <w:spacing w:line="360" w:lineRule="auto"/>
              <w:jc w:val="center"/>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单位</w:t>
            </w:r>
          </w:p>
        </w:tc>
        <w:tc>
          <w:tcPr>
            <w:tcW w:w="2012" w:type="dxa"/>
            <w:vAlign w:val="center"/>
          </w:tcPr>
          <w:p w14:paraId="3D4F279F">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全费用综合单价</w:t>
            </w:r>
          </w:p>
        </w:tc>
        <w:tc>
          <w:tcPr>
            <w:tcW w:w="747" w:type="dxa"/>
            <w:vAlign w:val="center"/>
          </w:tcPr>
          <w:p w14:paraId="66E9A582">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备注</w:t>
            </w:r>
          </w:p>
        </w:tc>
      </w:tr>
      <w:tr w14:paraId="40AF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91" w:type="dxa"/>
            <w:vAlign w:val="center"/>
          </w:tcPr>
          <w:p w14:paraId="45B7F8E9">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w:t>
            </w:r>
          </w:p>
        </w:tc>
        <w:tc>
          <w:tcPr>
            <w:tcW w:w="1325" w:type="dxa"/>
            <w:vAlign w:val="center"/>
          </w:tcPr>
          <w:p w14:paraId="064CA4A4">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破碎厚度10㎝水泥混凝土地</w:t>
            </w:r>
          </w:p>
        </w:tc>
        <w:tc>
          <w:tcPr>
            <w:tcW w:w="1080" w:type="dxa"/>
            <w:vAlign w:val="center"/>
          </w:tcPr>
          <w:p w14:paraId="6106E74D">
            <w:pPr>
              <w:spacing w:line="360" w:lineRule="auto"/>
              <w:jc w:val="center"/>
              <w:rPr>
                <w:rFonts w:hint="default"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1500</w:t>
            </w:r>
          </w:p>
        </w:tc>
        <w:tc>
          <w:tcPr>
            <w:tcW w:w="1565" w:type="dxa"/>
            <w:vAlign w:val="center"/>
          </w:tcPr>
          <w:p w14:paraId="44A9BA6D">
            <w:pPr>
              <w:spacing w:line="360" w:lineRule="auto"/>
              <w:jc w:val="center"/>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平方米</w:t>
            </w:r>
          </w:p>
        </w:tc>
        <w:tc>
          <w:tcPr>
            <w:tcW w:w="2012" w:type="dxa"/>
            <w:vAlign w:val="center"/>
          </w:tcPr>
          <w:p w14:paraId="604531EA">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    ）元/</w:t>
            </w:r>
            <w:r>
              <w:rPr>
                <w:rFonts w:hint="eastAsia" w:ascii="仿宋_GB2312" w:hAnsi="仿宋_GB2312" w:eastAsia="仿宋_GB2312" w:cs="仿宋_GB2312"/>
                <w:color w:val="auto"/>
                <w:kern w:val="0"/>
                <w:sz w:val="20"/>
                <w:szCs w:val="20"/>
                <w:lang w:val="en-US" w:eastAsia="zh-CN"/>
              </w:rPr>
              <w:t>㎡</w:t>
            </w:r>
          </w:p>
        </w:tc>
        <w:tc>
          <w:tcPr>
            <w:tcW w:w="747" w:type="dxa"/>
            <w:vAlign w:val="center"/>
          </w:tcPr>
          <w:p w14:paraId="1628421F">
            <w:pPr>
              <w:spacing w:line="360" w:lineRule="auto"/>
              <w:ind w:firstLine="482"/>
              <w:jc w:val="center"/>
              <w:rPr>
                <w:rFonts w:hint="eastAsia" w:ascii="仿宋_GB2312" w:hAnsi="仿宋_GB2312" w:eastAsia="仿宋_GB2312" w:cs="仿宋_GB2312"/>
                <w:color w:val="auto"/>
                <w:kern w:val="0"/>
                <w:sz w:val="20"/>
                <w:szCs w:val="20"/>
                <w:lang w:val="en-US" w:eastAsia="zh-Hans"/>
              </w:rPr>
            </w:pPr>
          </w:p>
        </w:tc>
      </w:tr>
      <w:tr w14:paraId="298A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91" w:type="dxa"/>
            <w:vAlign w:val="center"/>
          </w:tcPr>
          <w:p w14:paraId="627FAE25">
            <w:pPr>
              <w:spacing w:line="360" w:lineRule="auto"/>
              <w:jc w:val="center"/>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w:t>
            </w:r>
          </w:p>
        </w:tc>
        <w:tc>
          <w:tcPr>
            <w:tcW w:w="1325" w:type="dxa"/>
            <w:vAlign w:val="center"/>
          </w:tcPr>
          <w:p w14:paraId="6C453A73">
            <w:pPr>
              <w:spacing w:line="360" w:lineRule="auto"/>
              <w:jc w:val="center"/>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清运文勘清表垃圾</w:t>
            </w:r>
          </w:p>
        </w:tc>
        <w:tc>
          <w:tcPr>
            <w:tcW w:w="1080" w:type="dxa"/>
            <w:vAlign w:val="center"/>
          </w:tcPr>
          <w:p w14:paraId="3124C2B4">
            <w:pPr>
              <w:spacing w:line="360" w:lineRule="auto"/>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34000</w:t>
            </w:r>
          </w:p>
        </w:tc>
        <w:tc>
          <w:tcPr>
            <w:tcW w:w="1565" w:type="dxa"/>
            <w:vAlign w:val="center"/>
          </w:tcPr>
          <w:p w14:paraId="1F701595">
            <w:pPr>
              <w:spacing w:line="360" w:lineRule="auto"/>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立方米</w:t>
            </w:r>
          </w:p>
        </w:tc>
        <w:tc>
          <w:tcPr>
            <w:tcW w:w="2012" w:type="dxa"/>
            <w:vAlign w:val="center"/>
          </w:tcPr>
          <w:p w14:paraId="03F140BF">
            <w:pPr>
              <w:spacing w:line="360" w:lineRule="auto"/>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Hans"/>
              </w:rPr>
              <w:t>（    ）元/m³</w:t>
            </w:r>
          </w:p>
        </w:tc>
        <w:tc>
          <w:tcPr>
            <w:tcW w:w="747" w:type="dxa"/>
            <w:vAlign w:val="center"/>
          </w:tcPr>
          <w:p w14:paraId="5D86853C">
            <w:pPr>
              <w:spacing w:line="360" w:lineRule="auto"/>
              <w:ind w:firstLine="482"/>
              <w:jc w:val="center"/>
              <w:rPr>
                <w:rFonts w:hint="eastAsia" w:ascii="仿宋_GB2312" w:hAnsi="仿宋_GB2312" w:eastAsia="仿宋_GB2312" w:cs="仿宋_GB2312"/>
                <w:color w:val="auto"/>
                <w:kern w:val="0"/>
                <w:sz w:val="20"/>
                <w:szCs w:val="20"/>
                <w:lang w:val="en-US" w:eastAsia="zh-Hans"/>
              </w:rPr>
            </w:pPr>
          </w:p>
        </w:tc>
      </w:tr>
      <w:tr w14:paraId="4D14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420" w:type="dxa"/>
            <w:gridSpan w:val="6"/>
            <w:vAlign w:val="center"/>
          </w:tcPr>
          <w:p w14:paraId="1D54A3AD">
            <w:pPr>
              <w:spacing w:line="360" w:lineRule="auto"/>
              <w:ind w:firstLine="482"/>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Hans"/>
              </w:rPr>
              <w:t>合同暂定总价</w:t>
            </w:r>
            <w:r>
              <w:rPr>
                <w:rFonts w:hint="eastAsia" w:ascii="仿宋_GB2312" w:hAnsi="仿宋_GB2312" w:eastAsia="仿宋_GB2312" w:cs="仿宋_GB2312"/>
                <w:color w:val="auto"/>
                <w:kern w:val="0"/>
                <w:sz w:val="20"/>
                <w:szCs w:val="20"/>
                <w:lang w:val="en-US" w:eastAsia="zh-CN"/>
              </w:rPr>
              <w:t>大写：人民币</w:t>
            </w:r>
            <w:r>
              <w:rPr>
                <w:rFonts w:hint="eastAsia" w:ascii="仿宋_GB2312" w:hAnsi="仿宋_GB2312" w:eastAsia="仿宋_GB2312" w:cs="仿宋_GB2312"/>
                <w:color w:val="auto"/>
                <w:kern w:val="0"/>
                <w:sz w:val="20"/>
                <w:szCs w:val="20"/>
                <w:u w:val="single"/>
                <w:lang w:val="en-US" w:eastAsia="zh-CN"/>
              </w:rPr>
              <w:t xml:space="preserve">            </w:t>
            </w:r>
            <w:r>
              <w:rPr>
                <w:rFonts w:hint="eastAsia" w:ascii="仿宋_GB2312" w:hAnsi="仿宋_GB2312" w:eastAsia="仿宋_GB2312" w:cs="仿宋_GB2312"/>
                <w:color w:val="auto"/>
                <w:kern w:val="0"/>
                <w:sz w:val="20"/>
                <w:szCs w:val="20"/>
                <w:lang w:val="en-US" w:eastAsia="zh-CN"/>
              </w:rPr>
              <w:t xml:space="preserve"> 小写：¥ </w:t>
            </w:r>
            <w:r>
              <w:rPr>
                <w:rFonts w:hint="eastAsia" w:ascii="仿宋_GB2312" w:hAnsi="仿宋_GB2312" w:eastAsia="仿宋_GB2312" w:cs="仿宋_GB2312"/>
                <w:color w:val="auto"/>
                <w:kern w:val="0"/>
                <w:sz w:val="20"/>
                <w:szCs w:val="20"/>
                <w:u w:val="single"/>
                <w:lang w:val="en-US" w:eastAsia="zh-CN"/>
              </w:rPr>
              <w:t xml:space="preserve">        </w:t>
            </w:r>
            <w:r>
              <w:rPr>
                <w:rFonts w:hint="eastAsia" w:ascii="仿宋_GB2312" w:hAnsi="仿宋_GB2312" w:eastAsia="仿宋_GB2312" w:cs="仿宋_GB2312"/>
                <w:color w:val="auto"/>
                <w:kern w:val="0"/>
                <w:sz w:val="20"/>
                <w:szCs w:val="20"/>
                <w:lang w:val="en-US" w:eastAsia="zh-CN"/>
              </w:rPr>
              <w:t xml:space="preserve">            </w:t>
            </w:r>
          </w:p>
          <w:p w14:paraId="12179211">
            <w:pPr>
              <w:spacing w:line="360" w:lineRule="auto"/>
              <w:ind w:firstLine="482"/>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以最终实测工程量进行结算。</w:t>
            </w:r>
          </w:p>
        </w:tc>
      </w:tr>
    </w:tbl>
    <w:p w14:paraId="16463506">
      <w:pPr>
        <w:spacing w:line="360" w:lineRule="auto"/>
        <w:ind w:firstLine="482"/>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四、付款方式</w:t>
      </w:r>
    </w:p>
    <w:p w14:paraId="6D2410A1">
      <w:pPr>
        <w:spacing w:line="360" w:lineRule="auto"/>
        <w:ind w:firstLine="482"/>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工程进度完成60%后30个工作日内，甲方向乙方支付合同暂定总金额的50%；项目验收合格后三个月内无质量及上访等不稳定事件发生，甲方按照实际工程量和</w:t>
      </w:r>
      <w:r>
        <w:rPr>
          <w:rFonts w:hint="eastAsia" w:ascii="仿宋_GB2312" w:hAnsi="仿宋_GB2312" w:eastAsia="仿宋_GB2312" w:cs="仿宋_GB2312"/>
          <w:color w:val="auto"/>
          <w:kern w:val="0"/>
          <w:sz w:val="20"/>
          <w:szCs w:val="20"/>
          <w:lang w:val="en-US" w:eastAsia="zh-CN"/>
        </w:rPr>
        <w:t>全费用综合单价</w:t>
      </w:r>
      <w:r>
        <w:rPr>
          <w:rFonts w:hint="eastAsia" w:ascii="仿宋_GB2312" w:hAnsi="仿宋_GB2312" w:eastAsia="仿宋_GB2312" w:cs="仿宋_GB2312"/>
          <w:color w:val="auto"/>
          <w:kern w:val="0"/>
          <w:sz w:val="20"/>
          <w:szCs w:val="20"/>
          <w:lang w:val="en-US" w:eastAsia="zh-Hans"/>
        </w:rPr>
        <w:t>据实结算，结算后一次性支付剩余工程款。</w:t>
      </w:r>
    </w:p>
    <w:p w14:paraId="5B6E7DBC">
      <w:pPr>
        <w:spacing w:line="360" w:lineRule="auto"/>
        <w:ind w:firstLine="482"/>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五、双方的权利及义务</w:t>
      </w:r>
    </w:p>
    <w:p w14:paraId="2D48CA41">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1、甲方权利和义务</w:t>
      </w:r>
    </w:p>
    <w:p w14:paraId="08CAC868">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（1）双方在签订协议2日内，如乙方未正常进场施工，甲方有权解除合同。</w:t>
      </w:r>
    </w:p>
    <w:p w14:paraId="7C6A8D46">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（2）项目完工后及时验收，并按合同约定时限支付工程款。</w:t>
      </w:r>
    </w:p>
    <w:p w14:paraId="43FA5722">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（3）因清运不力造成群体上访、聚众闹事等严重影响社会稳定事件及安全文明施工方面存在问题被行政主管部门通报批评，给甲方造成负面影响的，甲方有权解除、终止合同并向乙方索赔。</w:t>
      </w:r>
    </w:p>
    <w:p w14:paraId="2219B6D9">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（4）甲方增加合同标的的权利</w:t>
      </w:r>
    </w:p>
    <w:p w14:paraId="260A55DC">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495CD6D1">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2、乙方的权利和义务</w:t>
      </w:r>
    </w:p>
    <w:p w14:paraId="2833A49B">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（1）负责解决生产及生活所需的用水、用电接入问题，因此发生的一切费用由乙方全部承担。</w:t>
      </w:r>
    </w:p>
    <w:p w14:paraId="7D88635C">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（2)乙方在工地门口必须设置相关部门要求的冲洗设备，保证清运车辆出场冲洗干净，因此发生的一切费用由乙方全部承担。</w:t>
      </w:r>
    </w:p>
    <w:p w14:paraId="7572D8EE">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（3）按照甲方及合同约定的要求确保工程质量及进度，服从甲方人员的管理，及时完成垃圾外运工作。</w:t>
      </w:r>
    </w:p>
    <w:p w14:paraId="2DE72BEF">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4）乙方在施工过程中应严格遵守各种与安全相关的法律、法规及安全技术规范，确保施工安全，一切安全责任及费用由乙方承担。同时乙方应做好施工现场的安全警示标志、道路及场地的硬化、安全通道的合理布置、材料与设备的存放与保管、消防设施的齐全有效、现场垃圾的存放与清运、施工现场的照明与防护以及政府有关部门关于安全防护、文明施工规定的其他工作等。确保在实施过程无安全责任事故发生。</w:t>
      </w:r>
    </w:p>
    <w:p w14:paraId="56708344">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（5）乙方必须为施工现场内施工人员办理意外伤害保险和工伤保险，并为施工场地内的施工机械设备办理财产保险，支付保险费用，出现任何安全事故乙方承担责任及费用，甲方概不负责。</w:t>
      </w:r>
    </w:p>
    <w:p w14:paraId="69724EA8">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CN"/>
        </w:rPr>
        <w:t>6</w:t>
      </w:r>
      <w:r>
        <w:rPr>
          <w:rFonts w:hint="eastAsia" w:ascii="仿宋_GB2312" w:hAnsi="仿宋_GB2312" w:eastAsia="仿宋_GB2312" w:cs="仿宋_GB2312"/>
          <w:color w:val="auto"/>
          <w:kern w:val="0"/>
          <w:sz w:val="20"/>
          <w:szCs w:val="20"/>
          <w:lang w:val="en-US" w:eastAsia="zh-Hans"/>
        </w:rPr>
        <w:t>）弃运物不得随意弃堆，应运输至指定填埋场，未按要求实施的，甲方有权直接委托其他人负责弃运。</w:t>
      </w:r>
    </w:p>
    <w:p w14:paraId="4B4E4615">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CN"/>
        </w:rPr>
        <w:t>7</w:t>
      </w:r>
      <w:r>
        <w:rPr>
          <w:rFonts w:hint="eastAsia" w:ascii="仿宋_GB2312" w:hAnsi="仿宋_GB2312" w:eastAsia="仿宋_GB2312" w:cs="仿宋_GB2312"/>
          <w:color w:val="auto"/>
          <w:kern w:val="0"/>
          <w:sz w:val="20"/>
          <w:szCs w:val="20"/>
          <w:lang w:val="en-US" w:eastAsia="zh-Hans"/>
        </w:rPr>
        <w:t>）乙方为了车辆进出修建的施工便道，其费用由乙方自行承担，同时在施工结束时，必须将自建便道清除弃运。不按要求实施的，甲方有权直接委托其他人负责弃运。</w:t>
      </w:r>
    </w:p>
    <w:p w14:paraId="353D0EEF">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CN"/>
        </w:rPr>
        <w:t>8</w:t>
      </w:r>
      <w:r>
        <w:rPr>
          <w:rFonts w:hint="eastAsia" w:ascii="仿宋_GB2312" w:hAnsi="仿宋_GB2312" w:eastAsia="仿宋_GB2312" w:cs="仿宋_GB2312"/>
          <w:color w:val="auto"/>
          <w:kern w:val="0"/>
          <w:sz w:val="20"/>
          <w:szCs w:val="20"/>
          <w:lang w:val="en-US" w:eastAsia="zh-Hans"/>
        </w:rPr>
        <w:t>）乙方应指派专职项目经理，代表乙方联系和处理清运工作中的有关事宜，参加协调会，协调、解决合同执行过程中遇到的问题，并配备专职安全员每日巡视现场，安全员必须持证上岗。</w:t>
      </w:r>
    </w:p>
    <w:p w14:paraId="6D0853F5">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六、质量与验收</w:t>
      </w:r>
    </w:p>
    <w:p w14:paraId="39EB88DC">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乙方应遵循国家政策法律、法规，确保该项目挖运过程中不发生违法、违章、违规事件，不发生由于挖运不当引起的纠纷、上访及诉讼等不稳定因素，如出现上访等不安全因素乙方应尽快解决。</w:t>
      </w:r>
    </w:p>
    <w:p w14:paraId="5D6233C9">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本工程执行相关国家标准及行业规范，验收时要做到场地整洁、无垃圾及其他堆放物，清运垃圾时要遮盖、无抛洒。</w:t>
      </w:r>
    </w:p>
    <w:p w14:paraId="6F81BEDD">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七、安全文明施工及其他约定</w:t>
      </w:r>
    </w:p>
    <w:p w14:paraId="76483CE0">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乙方须严格执行工程建设安全生产的相关管理规定，严格按相关安全标准、规范、操作规程进行施工作业，并采取有效安全措施消除事故隐患，并无条件承担由于自身安全措施不力造成的事故责任和因此发生的费用。</w:t>
      </w:r>
    </w:p>
    <w:p w14:paraId="09B80B3F">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2、乙方不得将工程转包或分包给其他施工单位，否则甲方有权单方面解除合同，由此造成的一切损失由乙方承担。</w:t>
      </w:r>
    </w:p>
    <w:p w14:paraId="60C24BB7">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3、乙方项目经理、技术负责人、安全员等须现场指挥监督施工作业，并须安排具有相应从业资格的人员进行施工作业</w:t>
      </w:r>
    </w:p>
    <w:p w14:paraId="1CD8B389">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 xml:space="preserve">4、建筑垃圾在未清理出现场之前应采取围挡或者覆盖的方式避免污染环境。 </w:t>
      </w:r>
    </w:p>
    <w:p w14:paraId="3AE5BC2E">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八、违约责任</w:t>
      </w:r>
    </w:p>
    <w:p w14:paraId="33EDBEBD">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1、乙方须在甲方现场代表指定的时间内进场施工，如不能按期进场施工，则甲方有权终止本合同。</w:t>
      </w:r>
    </w:p>
    <w:p w14:paraId="3BF235D0">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2、乙方未按合同约定工期完工，则每逾期一日，应向甲方支付合同暂定价的千分之三作为违约金。</w:t>
      </w:r>
    </w:p>
    <w:p w14:paraId="1334363B">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3</w:t>
      </w:r>
      <w:r>
        <w:rPr>
          <w:rFonts w:hint="eastAsia" w:ascii="仿宋_GB2312" w:hAnsi="仿宋_GB2312" w:eastAsia="仿宋_GB2312" w:cs="仿宋_GB2312"/>
          <w:color w:val="auto"/>
          <w:kern w:val="0"/>
          <w:sz w:val="20"/>
          <w:szCs w:val="20"/>
          <w:lang w:val="en-US" w:eastAsia="zh-Hans"/>
        </w:rPr>
        <w:t>、如乙方转包或未经甲方同意分包本工程，则甲方有权终止本合同。因转包和分包出现质量、安全事故由乙方承担全部责任。</w:t>
      </w:r>
    </w:p>
    <w:p w14:paraId="22D1FF45">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4</w:t>
      </w:r>
      <w:r>
        <w:rPr>
          <w:rFonts w:hint="eastAsia" w:ascii="仿宋_GB2312" w:hAnsi="仿宋_GB2312" w:eastAsia="仿宋_GB2312" w:cs="仿宋_GB2312"/>
          <w:color w:val="auto"/>
          <w:kern w:val="0"/>
          <w:sz w:val="20"/>
          <w:szCs w:val="20"/>
          <w:lang w:val="en-US" w:eastAsia="zh-Hans"/>
        </w:rPr>
        <w:t>、如因乙方不及时发放职工工资而发生职工上访等事件，甲方有权终止合同。</w:t>
      </w:r>
    </w:p>
    <w:p w14:paraId="03EA650C">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5</w:t>
      </w:r>
      <w:r>
        <w:rPr>
          <w:rFonts w:hint="eastAsia" w:ascii="仿宋_GB2312" w:hAnsi="仿宋_GB2312" w:eastAsia="仿宋_GB2312" w:cs="仿宋_GB2312"/>
          <w:color w:val="auto"/>
          <w:kern w:val="0"/>
          <w:sz w:val="20"/>
          <w:szCs w:val="20"/>
          <w:lang w:val="en-US" w:eastAsia="zh-Hans"/>
        </w:rPr>
        <w:t>、若发生安全事故，一切责任由乙方承担，同时，甲方有权终止合同。</w:t>
      </w:r>
    </w:p>
    <w:p w14:paraId="6EA71EC1">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6</w:t>
      </w:r>
      <w:r>
        <w:rPr>
          <w:rFonts w:hint="eastAsia" w:ascii="仿宋_GB2312" w:hAnsi="仿宋_GB2312" w:eastAsia="仿宋_GB2312" w:cs="仿宋_GB2312"/>
          <w:color w:val="auto"/>
          <w:kern w:val="0"/>
          <w:sz w:val="20"/>
          <w:szCs w:val="20"/>
          <w:lang w:val="en-US" w:eastAsia="zh-Hans"/>
        </w:rPr>
        <w:t>、因乙方未按合同约定履行工期、质量以及其他义务给甲方造成的损失，乙方应据实赔偿。因甲方未按合同约定履行义务给乙方造成损失，甲方应据实赔偿。</w:t>
      </w:r>
    </w:p>
    <w:p w14:paraId="62BEA5CA">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7</w:t>
      </w:r>
      <w:r>
        <w:rPr>
          <w:rFonts w:hint="eastAsia" w:ascii="仿宋_GB2312" w:hAnsi="仿宋_GB2312" w:eastAsia="仿宋_GB2312" w:cs="仿宋_GB2312"/>
          <w:color w:val="auto"/>
          <w:kern w:val="0"/>
          <w:sz w:val="20"/>
          <w:szCs w:val="20"/>
          <w:lang w:val="en-US" w:eastAsia="zh-Hans"/>
        </w:rPr>
        <w:t>、乙方须根据施工环境和现场情况，合理编制施工组织设计，优化施工方案，自行解决施工运输道路及邻近建筑物保护等矛盾，任何非甲方直接原因不得作为乙方的免责理由。</w:t>
      </w:r>
    </w:p>
    <w:p w14:paraId="7426EB8E">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九、争议解决</w:t>
      </w:r>
    </w:p>
    <w:p w14:paraId="6FCCCB97">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因本合同发生的纠纷，各方应本着实事求是的原则，协商解决；协商不能解决时，任何一方均可通过向工程所在地有管辖权的人民法院诉讼解决。</w:t>
      </w:r>
    </w:p>
    <w:p w14:paraId="31710DD0">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十、附则</w:t>
      </w:r>
    </w:p>
    <w:p w14:paraId="15E9DCA4">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1、本合同未明确约定的，按甲方需求及本合同确定的相关原则执行，或根据具体情况协商签订补充合同。</w:t>
      </w:r>
    </w:p>
    <w:p w14:paraId="64443AAC">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2、本合同自双方签字盖章或盖章之日起生效。合同一式</w:t>
      </w:r>
      <w:r>
        <w:rPr>
          <w:rFonts w:hint="eastAsia" w:ascii="仿宋_GB2312" w:hAnsi="仿宋_GB2312" w:eastAsia="仿宋_GB2312" w:cs="仿宋_GB2312"/>
          <w:color w:val="auto"/>
          <w:kern w:val="0"/>
          <w:sz w:val="20"/>
          <w:szCs w:val="20"/>
          <w:lang w:val="en-US" w:eastAsia="zh-CN"/>
        </w:rPr>
        <w:t>陆</w:t>
      </w:r>
      <w:r>
        <w:rPr>
          <w:rFonts w:hint="eastAsia" w:ascii="仿宋_GB2312" w:hAnsi="仿宋_GB2312" w:eastAsia="仿宋_GB2312" w:cs="仿宋_GB2312"/>
          <w:color w:val="auto"/>
          <w:kern w:val="0"/>
          <w:sz w:val="20"/>
          <w:szCs w:val="20"/>
          <w:lang w:val="en-US" w:eastAsia="zh-Hans"/>
        </w:rPr>
        <w:t>份，甲方执</w:t>
      </w:r>
      <w:r>
        <w:rPr>
          <w:rFonts w:hint="eastAsia" w:ascii="仿宋_GB2312" w:hAnsi="仿宋_GB2312" w:eastAsia="仿宋_GB2312" w:cs="仿宋_GB2312"/>
          <w:color w:val="auto"/>
          <w:kern w:val="0"/>
          <w:sz w:val="20"/>
          <w:szCs w:val="20"/>
          <w:lang w:val="en-US" w:eastAsia="zh-CN"/>
        </w:rPr>
        <w:t>叁</w:t>
      </w:r>
      <w:r>
        <w:rPr>
          <w:rFonts w:hint="eastAsia" w:ascii="仿宋_GB2312" w:hAnsi="仿宋_GB2312" w:eastAsia="仿宋_GB2312" w:cs="仿宋_GB2312"/>
          <w:color w:val="auto"/>
          <w:kern w:val="0"/>
          <w:sz w:val="20"/>
          <w:szCs w:val="20"/>
          <w:lang w:val="en-US" w:eastAsia="zh-Hans"/>
        </w:rPr>
        <w:t>份，乙方执</w:t>
      </w:r>
      <w:r>
        <w:rPr>
          <w:rFonts w:hint="eastAsia" w:ascii="仿宋_GB2312" w:hAnsi="仿宋_GB2312" w:eastAsia="仿宋_GB2312" w:cs="仿宋_GB2312"/>
          <w:color w:val="auto"/>
          <w:kern w:val="0"/>
          <w:sz w:val="20"/>
          <w:szCs w:val="20"/>
          <w:lang w:val="en-US" w:eastAsia="zh-CN"/>
        </w:rPr>
        <w:t>叁</w:t>
      </w:r>
      <w:r>
        <w:rPr>
          <w:rFonts w:hint="eastAsia" w:ascii="仿宋_GB2312" w:hAnsi="仿宋_GB2312" w:eastAsia="仿宋_GB2312" w:cs="仿宋_GB2312"/>
          <w:color w:val="auto"/>
          <w:kern w:val="0"/>
          <w:sz w:val="20"/>
          <w:szCs w:val="20"/>
          <w:lang w:val="en-US" w:eastAsia="zh-Hans"/>
        </w:rPr>
        <w:t>份，具有同等的法律效力。</w:t>
      </w:r>
    </w:p>
    <w:p w14:paraId="39DD0FF2">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3、合同签订地点：</w:t>
      </w:r>
    </w:p>
    <w:p w14:paraId="79568302">
      <w:pPr>
        <w:keepNext w:val="0"/>
        <w:keepLines w:val="0"/>
        <w:pageBreakBefore w:val="0"/>
        <w:widowControl w:val="0"/>
        <w:kinsoku/>
        <w:wordWrap/>
        <w:overflowPunct/>
        <w:topLinePunct w:val="0"/>
        <w:autoSpaceDE w:val="0"/>
        <w:autoSpaceDN w:val="0"/>
        <w:bidi w:val="0"/>
        <w:adjustRightInd w:val="0"/>
        <w:snapToGrid/>
        <w:spacing w:after="0" w:line="360" w:lineRule="auto"/>
        <w:ind w:firstLine="400" w:firstLineChars="200"/>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4、合同签订时间：     年   月  日</w:t>
      </w:r>
    </w:p>
    <w:p w14:paraId="21310C7D">
      <w:pPr>
        <w:keepNext w:val="0"/>
        <w:keepLines w:val="0"/>
        <w:pageBreakBefore w:val="0"/>
        <w:widowControl w:val="0"/>
        <w:kinsoku/>
        <w:wordWrap/>
        <w:overflowPunct/>
        <w:topLinePunct w:val="0"/>
        <w:autoSpaceDE/>
        <w:autoSpaceDN/>
        <w:bidi w:val="0"/>
        <w:adjustRightInd/>
        <w:spacing w:line="360" w:lineRule="auto"/>
        <w:ind w:left="0" w:leftChars="0" w:right="0" w:rightChars="0" w:firstLine="400" w:firstLineChars="200"/>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（以下无正文）</w:t>
      </w:r>
    </w:p>
    <w:p w14:paraId="5CFF4176">
      <w:pPr>
        <w:spacing w:line="360" w:lineRule="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lang w:val="en-US" w:eastAsia="zh-CN"/>
        </w:rPr>
        <w:t>发包人</w:t>
      </w:r>
      <w:r>
        <w:rPr>
          <w:rFonts w:hint="eastAsia" w:ascii="仿宋" w:hAnsi="仿宋" w:eastAsia="仿宋" w:cs="仿宋"/>
          <w:b w:val="0"/>
          <w:bCs w:val="0"/>
          <w:sz w:val="20"/>
          <w:szCs w:val="20"/>
          <w:highlight w:val="none"/>
        </w:rPr>
        <w:t>：（盖章）</w:t>
      </w:r>
      <w:r>
        <w:rPr>
          <w:rFonts w:hint="eastAsia" w:ascii="仿宋" w:hAnsi="仿宋" w:eastAsia="仿宋" w:cs="仿宋"/>
          <w:b w:val="0"/>
          <w:bCs w:val="0"/>
          <w:sz w:val="20"/>
          <w:szCs w:val="20"/>
          <w:highlight w:val="none"/>
          <w:lang w:val="en-US" w:eastAsia="zh-CN"/>
        </w:rPr>
        <w:t xml:space="preserve">                                 承包人</w:t>
      </w:r>
      <w:r>
        <w:rPr>
          <w:rFonts w:hint="eastAsia" w:ascii="仿宋" w:hAnsi="仿宋" w:eastAsia="仿宋" w:cs="仿宋"/>
          <w:b w:val="0"/>
          <w:bCs w:val="0"/>
          <w:sz w:val="20"/>
          <w:szCs w:val="20"/>
          <w:highlight w:val="none"/>
        </w:rPr>
        <w:t>： （盖章）</w:t>
      </w:r>
    </w:p>
    <w:p w14:paraId="7B33841C">
      <w:pPr>
        <w:spacing w:line="360" w:lineRule="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 xml:space="preserve">地 址： </w:t>
      </w:r>
      <w:r>
        <w:rPr>
          <w:rFonts w:hint="eastAsia" w:ascii="仿宋" w:hAnsi="仿宋" w:eastAsia="仿宋" w:cs="仿宋"/>
          <w:b w:val="0"/>
          <w:bCs w:val="0"/>
          <w:sz w:val="20"/>
          <w:szCs w:val="20"/>
          <w:highlight w:val="none"/>
          <w:lang w:val="en-US" w:eastAsia="zh-CN"/>
        </w:rPr>
        <w:t xml:space="preserve">                                         </w:t>
      </w:r>
      <w:r>
        <w:rPr>
          <w:rFonts w:hint="eastAsia" w:ascii="仿宋" w:hAnsi="仿宋" w:eastAsia="仿宋" w:cs="仿宋"/>
          <w:b w:val="0"/>
          <w:bCs w:val="0"/>
          <w:sz w:val="20"/>
          <w:szCs w:val="20"/>
          <w:highlight w:val="none"/>
        </w:rPr>
        <w:t>地 址：</w:t>
      </w:r>
    </w:p>
    <w:p w14:paraId="1BBD4326">
      <w:pPr>
        <w:spacing w:line="360" w:lineRule="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邮政编码：</w:t>
      </w:r>
      <w:r>
        <w:rPr>
          <w:rFonts w:hint="eastAsia" w:ascii="仿宋" w:hAnsi="仿宋" w:eastAsia="仿宋" w:cs="仿宋"/>
          <w:b w:val="0"/>
          <w:bCs w:val="0"/>
          <w:sz w:val="20"/>
          <w:szCs w:val="20"/>
          <w:highlight w:val="none"/>
          <w:lang w:val="en-US" w:eastAsia="zh-CN"/>
        </w:rPr>
        <w:t xml:space="preserve">                                       </w:t>
      </w:r>
      <w:r>
        <w:rPr>
          <w:rFonts w:hint="eastAsia" w:ascii="仿宋" w:hAnsi="仿宋" w:eastAsia="仿宋" w:cs="仿宋"/>
          <w:b w:val="0"/>
          <w:bCs w:val="0"/>
          <w:sz w:val="20"/>
          <w:szCs w:val="20"/>
          <w:highlight w:val="none"/>
        </w:rPr>
        <w:t>邮政编码：</w:t>
      </w:r>
    </w:p>
    <w:p w14:paraId="1DF38D27">
      <w:pPr>
        <w:spacing w:line="360" w:lineRule="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法定代表人或其</w:t>
      </w:r>
      <w:r>
        <w:rPr>
          <w:rFonts w:hint="eastAsia" w:ascii="仿宋" w:hAnsi="仿宋" w:eastAsia="仿宋" w:cs="仿宋"/>
          <w:b w:val="0"/>
          <w:bCs w:val="0"/>
          <w:sz w:val="20"/>
          <w:szCs w:val="20"/>
          <w:highlight w:val="none"/>
          <w:lang w:eastAsia="zh-CN"/>
        </w:rPr>
        <w:t>授权</w:t>
      </w:r>
      <w:r>
        <w:rPr>
          <w:rFonts w:hint="eastAsia" w:ascii="仿宋" w:hAnsi="仿宋" w:eastAsia="仿宋" w:cs="仿宋"/>
          <w:b w:val="0"/>
          <w:bCs w:val="0"/>
          <w:sz w:val="20"/>
          <w:szCs w:val="20"/>
          <w:highlight w:val="none"/>
        </w:rPr>
        <w:t>的代理人：（签字）</w:t>
      </w:r>
      <w:r>
        <w:rPr>
          <w:rFonts w:hint="eastAsia" w:ascii="仿宋" w:hAnsi="仿宋" w:eastAsia="仿宋" w:cs="仿宋"/>
          <w:b w:val="0"/>
          <w:bCs w:val="0"/>
          <w:sz w:val="20"/>
          <w:szCs w:val="20"/>
          <w:highlight w:val="none"/>
          <w:lang w:val="en-US" w:eastAsia="zh-CN"/>
        </w:rPr>
        <w:t xml:space="preserve">             </w:t>
      </w:r>
      <w:r>
        <w:rPr>
          <w:rFonts w:hint="eastAsia" w:ascii="仿宋" w:hAnsi="仿宋" w:eastAsia="仿宋" w:cs="仿宋"/>
          <w:b w:val="0"/>
          <w:bCs w:val="0"/>
          <w:sz w:val="20"/>
          <w:szCs w:val="20"/>
          <w:highlight w:val="none"/>
        </w:rPr>
        <w:t>法定代表人或其授权</w:t>
      </w:r>
      <w:bookmarkStart w:id="0" w:name="_GoBack"/>
      <w:bookmarkEnd w:id="0"/>
      <w:r>
        <w:rPr>
          <w:rFonts w:hint="eastAsia" w:ascii="仿宋" w:hAnsi="仿宋" w:eastAsia="仿宋" w:cs="仿宋"/>
          <w:b w:val="0"/>
          <w:bCs w:val="0"/>
          <w:sz w:val="20"/>
          <w:szCs w:val="20"/>
          <w:highlight w:val="none"/>
        </w:rPr>
        <w:t>的代理人：（签字）</w:t>
      </w:r>
      <w:r>
        <w:rPr>
          <w:rFonts w:hint="eastAsia" w:ascii="仿宋" w:hAnsi="仿宋" w:eastAsia="仿宋" w:cs="仿宋"/>
          <w:b w:val="0"/>
          <w:bCs w:val="0"/>
          <w:sz w:val="20"/>
          <w:szCs w:val="20"/>
          <w:highlight w:val="none"/>
          <w:lang w:val="en-US" w:eastAsia="zh-CN"/>
        </w:rPr>
        <w:t xml:space="preserve">                                </w:t>
      </w:r>
    </w:p>
    <w:p w14:paraId="59EBAD59">
      <w:pPr>
        <w:spacing w:line="360" w:lineRule="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 xml:space="preserve">开户银行： </w:t>
      </w:r>
      <w:r>
        <w:rPr>
          <w:rFonts w:hint="eastAsia" w:ascii="仿宋" w:hAnsi="仿宋" w:eastAsia="仿宋" w:cs="仿宋"/>
          <w:b w:val="0"/>
          <w:bCs w:val="0"/>
          <w:sz w:val="20"/>
          <w:szCs w:val="20"/>
          <w:highlight w:val="none"/>
          <w:lang w:val="en-US" w:eastAsia="zh-CN"/>
        </w:rPr>
        <w:t xml:space="preserve">                                      </w:t>
      </w:r>
      <w:r>
        <w:rPr>
          <w:rFonts w:hint="eastAsia" w:ascii="仿宋" w:hAnsi="仿宋" w:eastAsia="仿宋" w:cs="仿宋"/>
          <w:b w:val="0"/>
          <w:bCs w:val="0"/>
          <w:sz w:val="20"/>
          <w:szCs w:val="20"/>
          <w:highlight w:val="none"/>
        </w:rPr>
        <w:t>开户银行：</w:t>
      </w:r>
    </w:p>
    <w:p w14:paraId="6380736B">
      <w:pPr>
        <w:spacing w:line="360" w:lineRule="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 xml:space="preserve">账号： </w:t>
      </w:r>
      <w:r>
        <w:rPr>
          <w:rFonts w:hint="eastAsia" w:ascii="仿宋" w:hAnsi="仿宋" w:eastAsia="仿宋" w:cs="仿宋"/>
          <w:b w:val="0"/>
          <w:bCs w:val="0"/>
          <w:sz w:val="20"/>
          <w:szCs w:val="20"/>
          <w:highlight w:val="none"/>
          <w:lang w:val="en-US" w:eastAsia="zh-CN"/>
        </w:rPr>
        <w:t xml:space="preserve">                                          </w:t>
      </w:r>
      <w:r>
        <w:rPr>
          <w:rFonts w:hint="eastAsia" w:ascii="仿宋" w:hAnsi="仿宋" w:eastAsia="仿宋" w:cs="仿宋"/>
          <w:b w:val="0"/>
          <w:bCs w:val="0"/>
          <w:sz w:val="20"/>
          <w:szCs w:val="20"/>
          <w:highlight w:val="none"/>
        </w:rPr>
        <w:t>账号：</w:t>
      </w:r>
    </w:p>
    <w:p w14:paraId="7B244244">
      <w:pPr>
        <w:spacing w:line="360" w:lineRule="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 xml:space="preserve">电话： </w:t>
      </w:r>
      <w:r>
        <w:rPr>
          <w:rFonts w:hint="eastAsia" w:ascii="仿宋" w:hAnsi="仿宋" w:eastAsia="仿宋" w:cs="仿宋"/>
          <w:b w:val="0"/>
          <w:bCs w:val="0"/>
          <w:sz w:val="20"/>
          <w:szCs w:val="20"/>
          <w:highlight w:val="none"/>
          <w:lang w:val="en-US" w:eastAsia="zh-CN"/>
        </w:rPr>
        <w:t xml:space="preserve">                                          </w:t>
      </w:r>
      <w:r>
        <w:rPr>
          <w:rFonts w:hint="eastAsia" w:ascii="仿宋" w:hAnsi="仿宋" w:eastAsia="仿宋" w:cs="仿宋"/>
          <w:b w:val="0"/>
          <w:bCs w:val="0"/>
          <w:sz w:val="20"/>
          <w:szCs w:val="20"/>
          <w:highlight w:val="none"/>
        </w:rPr>
        <w:t>电话：</w:t>
      </w:r>
    </w:p>
    <w:p w14:paraId="6CC6C772">
      <w:pPr>
        <w:spacing w:line="360" w:lineRule="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 xml:space="preserve">传真： </w:t>
      </w:r>
      <w:r>
        <w:rPr>
          <w:rFonts w:hint="eastAsia" w:ascii="仿宋" w:hAnsi="仿宋" w:eastAsia="仿宋" w:cs="仿宋"/>
          <w:b w:val="0"/>
          <w:bCs w:val="0"/>
          <w:sz w:val="20"/>
          <w:szCs w:val="20"/>
          <w:highlight w:val="none"/>
          <w:lang w:val="en-US" w:eastAsia="zh-CN"/>
        </w:rPr>
        <w:t xml:space="preserve">                                          </w:t>
      </w:r>
      <w:r>
        <w:rPr>
          <w:rFonts w:hint="eastAsia" w:ascii="仿宋" w:hAnsi="仿宋" w:eastAsia="仿宋" w:cs="仿宋"/>
          <w:b w:val="0"/>
          <w:bCs w:val="0"/>
          <w:sz w:val="20"/>
          <w:szCs w:val="20"/>
          <w:highlight w:val="none"/>
        </w:rPr>
        <w:t>传真：</w:t>
      </w:r>
    </w:p>
    <w:p w14:paraId="44A695CF">
      <w:pPr>
        <w:spacing w:line="360" w:lineRule="auto"/>
        <w:rPr>
          <w:rFonts w:hint="eastAsia" w:ascii="仿宋" w:hAnsi="仿宋" w:eastAsia="仿宋" w:cs="仿宋"/>
          <w:b w:val="0"/>
          <w:bCs w:val="0"/>
          <w:sz w:val="20"/>
          <w:szCs w:val="20"/>
          <w:lang w:eastAsia="zh-CN"/>
        </w:rPr>
      </w:pPr>
      <w:r>
        <w:rPr>
          <w:rFonts w:hint="eastAsia" w:ascii="仿宋" w:hAnsi="仿宋" w:eastAsia="仿宋" w:cs="仿宋"/>
          <w:b w:val="0"/>
          <w:bCs w:val="0"/>
          <w:sz w:val="20"/>
          <w:szCs w:val="20"/>
          <w:highlight w:val="none"/>
        </w:rPr>
        <w:t xml:space="preserve">电子邮箱： </w:t>
      </w:r>
      <w:r>
        <w:rPr>
          <w:rFonts w:hint="eastAsia" w:ascii="仿宋" w:hAnsi="仿宋" w:eastAsia="仿宋" w:cs="仿宋"/>
          <w:b w:val="0"/>
          <w:bCs w:val="0"/>
          <w:sz w:val="20"/>
          <w:szCs w:val="20"/>
          <w:highlight w:val="none"/>
          <w:lang w:val="en-US" w:eastAsia="zh-CN"/>
        </w:rPr>
        <w:t xml:space="preserve">                                      </w:t>
      </w:r>
      <w:r>
        <w:rPr>
          <w:rFonts w:hint="eastAsia" w:ascii="仿宋" w:hAnsi="仿宋" w:eastAsia="仿宋" w:cs="仿宋"/>
          <w:b w:val="0"/>
          <w:bCs w:val="0"/>
          <w:sz w:val="20"/>
          <w:szCs w:val="20"/>
          <w:highlight w:val="none"/>
        </w:rPr>
        <w:t>电子邮箱</w:t>
      </w:r>
      <w:r>
        <w:rPr>
          <w:rFonts w:hint="eastAsia" w:ascii="仿宋" w:hAnsi="仿宋" w:eastAsia="仿宋" w:cs="仿宋"/>
          <w:b w:val="0"/>
          <w:bCs w:val="0"/>
          <w:sz w:val="20"/>
          <w:szCs w:val="20"/>
          <w:highlight w:val="none"/>
          <w:lang w:eastAsia="zh-CN"/>
        </w:rPr>
        <w:t>：</w:t>
      </w:r>
    </w:p>
    <w:p w14:paraId="43A37CE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BE33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38D63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38D63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77C6E"/>
    <w:rsid w:val="5717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2026-08-27T07:19:00Z</dcterms:created>
  <dc:creator>W</dc:creator>
  <cp:lastModifiedBy>W</cp:lastModifiedBy>
  <dcterms:modified xsi:type="dcterms:W3CDTF">2026-08-27T07:21:21Z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7115336672B8494E86EB6FB3F4137E28_11</vt:lpwstr>
  </property>
  <property fmtid="{D5CDD505-2E9C-101B-9397-08002B2CF9AE}" pid="4" name="KSOTemplateDocerSaveRecord">
    <vt:lpwstr>eyJoZGlkIjoiMTk2NTAwMmZhOGY3YjFmM2JhNTVlZjJiNTk5MTBjMzEiLCJ1c2VySWQiOiI0MTA1MzM4NDYifQ==</vt:lpwstr>
  </property>
</Properties>
</file>