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版本号：XATZ-2026-003HW20260609003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陕西楼观台国有生态实验林场“百万亩绿色碳库”试点示范项目碳汇计量监测设备采购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XATZ-2026-003HW</w:t>
      </w:r>
      <w:r>
        <w:br/>
      </w:r>
      <w:r>
        <w:br/>
      </w:r>
      <w:r>
        <w:br/>
      </w:r>
    </w:p>
    <w:p>
      <w:pPr>
        <w:pStyle w:val="null3"/>
        <w:jc w:val="center"/>
        <w:outlineLvl w:val="2"/>
      </w:pPr>
      <w:r>
        <w:rPr>
          <w:rFonts w:ascii="仿宋_GB2312" w:hAnsi="仿宋_GB2312" w:cs="仿宋_GB2312" w:eastAsia="仿宋_GB2312"/>
          <w:sz w:val="28"/>
          <w:b/>
        </w:rPr>
        <w:t>陕西省楼观台国有生态实验林场</w:t>
      </w:r>
    </w:p>
    <w:p>
      <w:pPr>
        <w:pStyle w:val="null3"/>
        <w:jc w:val="center"/>
        <w:outlineLvl w:val="2"/>
      </w:pPr>
      <w:r>
        <w:rPr>
          <w:rFonts w:ascii="仿宋_GB2312" w:hAnsi="仿宋_GB2312" w:cs="仿宋_GB2312" w:eastAsia="仿宋_GB2312"/>
          <w:sz w:val="28"/>
          <w:b/>
        </w:rPr>
        <w:t>西安天则项目管理有限公司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西安天则项目管理有限公司</w:t>
      </w:r>
      <w:r>
        <w:rPr>
          <w:rFonts w:ascii="仿宋_GB2312" w:hAnsi="仿宋_GB2312" w:cs="仿宋_GB2312" w:eastAsia="仿宋_GB2312"/>
        </w:rPr>
        <w:t>（以下简称“代理机构”）受</w:t>
      </w:r>
      <w:r>
        <w:rPr>
          <w:rFonts w:ascii="仿宋_GB2312" w:hAnsi="仿宋_GB2312" w:cs="仿宋_GB2312" w:eastAsia="仿宋_GB2312"/>
        </w:rPr>
        <w:t>陕西省楼观台国有生态实验林场</w:t>
      </w:r>
      <w:r>
        <w:rPr>
          <w:rFonts w:ascii="仿宋_GB2312" w:hAnsi="仿宋_GB2312" w:cs="仿宋_GB2312" w:eastAsia="仿宋_GB2312"/>
        </w:rPr>
        <w:t>委托，拟对</w:t>
      </w:r>
      <w:r>
        <w:rPr>
          <w:rFonts w:ascii="仿宋_GB2312" w:hAnsi="仿宋_GB2312" w:cs="仿宋_GB2312" w:eastAsia="仿宋_GB2312"/>
        </w:rPr>
        <w:t>陕西楼观台国有生态实验林场“百万亩绿色碳库”试点示范项目碳汇计量监测设备采购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XATZ-2026-003HW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陕西楼观台国有生态实验林场“百万亩绿色碳库”试点示范项目碳汇计量监测设备采购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项目区立地条件，在作业区布设监测样地共5组，其中，智能化监测样地1组（80林班），采购2套智能化监测设备；固定监测样地4组（76林班、81林班、198林班、202林班），每个监测样地面积1亩。每组监测样地设置2个样地标识牌，共10个，达到碳汇计量监测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采购包1（陕西楼观台国有生态实验林场“百万亩绿色碳库”试点示范项目碳汇计量监测设备采购）：属于专门面向中小企业采购。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社会保障资金缴纳证明：投标人提供本单位在开标前6个月缴纳的至少一个月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3、税收缴纳证明：投标人提供本单位在开标前6个月已缴纳的至少一个月纳税证明或完税证明，依法免税的单位应提供相关证明材料；</w:t>
      </w:r>
    </w:p>
    <w:p>
      <w:pPr>
        <w:pStyle w:val="null3"/>
      </w:pPr>
      <w:r>
        <w:rPr>
          <w:rFonts w:ascii="仿宋_GB2312" w:hAnsi="仿宋_GB2312" w:cs="仿宋_GB2312" w:eastAsia="仿宋_GB2312"/>
        </w:rPr>
        <w:t>4、财务状况证明：提供经会计师事务所审计的2024年或2025年的财务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5、信誉要求：投标人应出具参加本次政府采购活动前3年内在经营活动中没有重大违法违纪行为的书面声明，投标人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陕西省楼观台国有生态实验林场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西安市周至县楼观镇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董军孝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029-85180143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西安天则项目管理有限公司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陕西省西安市雁塔区西安市雁塔区朱雀大街中段21号朱雀云天1幢11205房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鹿璐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029-85272109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采购包1：880,400.00元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开户名称：西安天则项目管理有限公司</w:t>
            </w:r>
          </w:p>
          <w:p>
            <w:pPr>
              <w:pStyle w:val="null3"/>
            </w:pPr>
            <w:r>
              <w:rPr>
                <w:rFonts w:ascii="仿宋_GB2312" w:hAnsi="仿宋_GB2312" w:cs="仿宋_GB2312" w:eastAsia="仿宋_GB2312"/>
              </w:rPr>
              <w:t>开户银行：中国光大银行股份有限公司西安明德门支行</w:t>
            </w:r>
          </w:p>
          <w:p>
            <w:pPr>
              <w:pStyle w:val="null3"/>
            </w:pPr>
            <w:r>
              <w:rPr>
                <w:rFonts w:ascii="仿宋_GB2312" w:hAnsi="仿宋_GB2312" w:cs="仿宋_GB2312" w:eastAsia="仿宋_GB2312"/>
              </w:rPr>
              <w:t>银行账号：79210188000010627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供应商应于本合同生效之日起5个工作日内，以银行转账、银行保函或采购人认可的其他形式向采购人提交履约保证金，金额为合同总价的百分之三（3%）。履约保证金有效期至全部货物验收合格且质保期届满之日止。 履约保证金缴纳形式： 银行转账：供应商应将履约保证金足额汇入以下指定账户，转账时需注明 "[项目名称] 履约保证金" 字样。 银行保函：须由中华人民共和国境内注册的国有商业银行或股份制商业银行（支行及以上级别）出具，保函格式应符合采购人要求，保函有效期应至少比合同约定的质保期届满之日延长30天。 其他形式：采购人认可的履约保证保险等其他形式，须经采购人书面确认后方可采用。 履约保证金有效期自提交之日起至全部货物验收合格且质保期届满之日止。 若因供应商原因导致验收延迟或质保期延长的，履约保证金有效期相应顺延。 履约保证金缴纳账户： 单位：陕西省楼观台国有生态实验林场 开户行：中国农业银行周至县支行 账号：26165701040002721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代理服务费收费标准：参照国家计委颁发的《招标代理服务收费管理暂行办法》（计价格[2002]1980号）和国家发改委办公厅颁发的《关于招标代理服务收费有关问题的通知》（发改办价格[2003] 857号）的有关规定向采购代理机构一次性支付招标代理服务费（招标代理服务费不足5000元的，按照5000元定额收取）。 备注：招标代理服务费缴纳时应备注项目名称、包段名称的招标代理服务费字样。 开户名称：西安天则项目管理有限公司 开户银行：中国光大银行股份有限公司西安明德门支行 银行账号：79210188000010627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陕西省楼观台国有生态实验林场</w:t>
      </w:r>
      <w:r>
        <w:rPr>
          <w:rFonts w:ascii="仿宋_GB2312" w:hAnsi="仿宋_GB2312" w:cs="仿宋_GB2312" w:eastAsia="仿宋_GB2312"/>
        </w:rPr>
        <w:t>和</w:t>
      </w:r>
      <w:r>
        <w:rPr>
          <w:rFonts w:ascii="仿宋_GB2312" w:hAnsi="仿宋_GB2312" w:cs="仿宋_GB2312" w:eastAsia="仿宋_GB2312"/>
        </w:rPr>
        <w:t>西安天则项目管理有限公司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陕西省楼观台国有生态实验林场</w:t>
      </w:r>
      <w:r>
        <w:rPr>
          <w:rFonts w:ascii="仿宋_GB2312" w:hAnsi="仿宋_GB2312" w:cs="仿宋_GB2312" w:eastAsia="仿宋_GB2312"/>
        </w:rPr>
        <w:t>负责解释。除上述招标文件内容，其他内容由</w:t>
      </w:r>
      <w:r>
        <w:rPr>
          <w:rFonts w:ascii="仿宋_GB2312" w:hAnsi="仿宋_GB2312" w:cs="仿宋_GB2312" w:eastAsia="仿宋_GB2312"/>
        </w:rPr>
        <w:t>西安天则项目管理有限公司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陕西省楼观台国有生态实验林场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西安天则项目管理有限公司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西安天则项目管理有限公司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西安天则项目管理有限公司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西安天则项目管理有限公司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联系人：鹿璐</w:t>
      </w:r>
    </w:p>
    <w:p>
      <w:pPr>
        <w:pStyle w:val="null3"/>
      </w:pPr>
      <w:r>
        <w:rPr>
          <w:rFonts w:ascii="仿宋_GB2312" w:hAnsi="仿宋_GB2312" w:cs="仿宋_GB2312" w:eastAsia="仿宋_GB2312"/>
        </w:rPr>
        <w:t>联系电话：029-85272109</w:t>
      </w:r>
    </w:p>
    <w:p>
      <w:pPr>
        <w:pStyle w:val="null3"/>
      </w:pPr>
      <w:r>
        <w:rPr>
          <w:rFonts w:ascii="仿宋_GB2312" w:hAnsi="仿宋_GB2312" w:cs="仿宋_GB2312" w:eastAsia="仿宋_GB2312"/>
        </w:rPr>
        <w:t>地址：陕西省西安市雁塔区朱雀大街中段21号朱雀云天1幢1205室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项目区立地条件，在作业区布设监测样地共5组，其中，智能化监测样地1组（80林班），采购2套智能化监测设备；固定监测样地4组（76林班、81林班、198林班、202林班），每个监测样地面积1亩。每组监测样地设置2个样地标识牌，共10个，达到碳汇计量监测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880,400.00</w:t>
      </w:r>
    </w:p>
    <w:p>
      <w:pPr>
        <w:pStyle w:val="null3"/>
      </w:pPr>
      <w:r>
        <w:rPr>
          <w:rFonts w:ascii="仿宋_GB2312" w:hAnsi="仿宋_GB2312" w:cs="仿宋_GB2312" w:eastAsia="仿宋_GB2312"/>
        </w:rPr>
        <w:t>采购包最高限价（元）: 880,400.00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碳汇计量监测设备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880,400.00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标的名称：碳汇计量监测设备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物联网监控主机（2台）</w:t>
            </w:r>
          </w:p>
          <w:p>
            <w:pPr>
              <w:pStyle w:val="null3"/>
              <w:jc w:val="left"/>
            </w:pPr>
            <w:r>
              <w:rPr>
                <w:rFonts w:ascii="仿宋_GB2312" w:hAnsi="仿宋_GB2312" w:cs="仿宋_GB2312" w:eastAsia="仿宋_GB2312"/>
              </w:rPr>
              <w:t>1.数据传输需支持 TCP、UDP、MQTT 任一主流物联网通信协议；</w:t>
            </w:r>
            <w:r>
              <w:br/>
            </w:r>
            <w:r>
              <w:rPr>
                <w:rFonts w:ascii="仿宋_GB2312" w:hAnsi="仿宋_GB2312" w:cs="仿宋_GB2312" w:eastAsia="仿宋_GB2312"/>
              </w:rPr>
              <w:t xml:space="preserve"> ▲2.支持北斗卫星定位，可对接通用物联网云平台；(提供上述要求的相关证明材料，包括：设备彩页截图或者设备彩色照片或者设备官网截图或者第三方检测报告)           </w:t>
            </w:r>
            <w:r>
              <w:br/>
            </w:r>
            <w:r>
              <w:rPr>
                <w:rFonts w:ascii="仿宋_GB2312" w:hAnsi="仿宋_GB2312" w:cs="仿宋_GB2312" w:eastAsia="仿宋_GB2312"/>
              </w:rPr>
              <w:t xml:space="preserve"> ▲3.空旷无遮挡环境下无线通信传输距离不小于 1500 米；支持 AC 220V 市电或者DC12V～24V接入；(提供上述要求的相关证明材料，包括：设备彩页截图或者设备彩色照片或者设备官网截图或者第三方检测报告)</w:t>
            </w:r>
            <w:r>
              <w:br/>
            </w:r>
            <w:r>
              <w:rPr>
                <w:rFonts w:ascii="仿宋_GB2312" w:hAnsi="仿宋_GB2312" w:cs="仿宋_GB2312" w:eastAsia="仿宋_GB2312"/>
              </w:rPr>
              <w:t xml:space="preserve"> 4.整机防护等级不低于IP66；</w:t>
            </w:r>
            <w:r>
              <w:br/>
            </w:r>
            <w:r>
              <w:rPr>
                <w:rFonts w:ascii="仿宋_GB2312" w:hAnsi="仿宋_GB2312" w:cs="仿宋_GB2312" w:eastAsia="仿宋_GB2312"/>
              </w:rPr>
              <w:t xml:space="preserve"> 5.工作温度-40℃～+60℃；</w:t>
            </w:r>
            <w:r>
              <w:br/>
            </w:r>
            <w:r>
              <w:rPr>
                <w:rFonts w:ascii="仿宋_GB2312" w:hAnsi="仿宋_GB2312" w:cs="仿宋_GB2312" w:eastAsia="仿宋_GB2312"/>
              </w:rPr>
              <w:t xml:space="preserve"> 6.工作湿度：0%~95%；</w:t>
            </w:r>
          </w:p>
          <w:p>
            <w:pPr>
              <w:pStyle w:val="null3"/>
            </w:pPr>
            <w:r>
              <w:rPr>
                <w:rFonts w:ascii="仿宋_GB2312" w:hAnsi="仿宋_GB2312" w:cs="仿宋_GB2312" w:eastAsia="仿宋_GB2312"/>
              </w:rPr>
              <w:t>7.标配 RS485/RS232 采集接口，支持远程升级。</w:t>
            </w:r>
          </w:p>
          <w:p>
            <w:pPr>
              <w:pStyle w:val="null3"/>
            </w:pPr>
            <w:r>
              <w:rPr>
                <w:rFonts w:ascii="仿宋_GB2312" w:hAnsi="仿宋_GB2312" w:cs="仿宋_GB2312" w:eastAsia="仿宋_GB2312"/>
              </w:rPr>
              <w:t>8.提供自设备最终验收合格之日起连续五年的数据传输支持，在项目实施区域内保障设备与平台正常通信，包含设备所需的物联网通信卡、通信流量、网络接入及数据正常传输所需的全部技术支持。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二氧化碳传感器（2个）</w:t>
            </w:r>
          </w:p>
          <w:p>
            <w:pPr>
              <w:pStyle w:val="null3"/>
              <w:jc w:val="left"/>
            </w:pPr>
            <w:r>
              <w:rPr>
                <w:rFonts w:ascii="仿宋_GB2312" w:hAnsi="仿宋_GB2312" w:cs="仿宋_GB2312" w:eastAsia="仿宋_GB2312"/>
              </w:rPr>
              <w:t>1.测量量程 0%～100% LEL（甲烷）；</w:t>
            </w:r>
          </w:p>
          <w:p>
            <w:pPr>
              <w:pStyle w:val="null3"/>
            </w:pPr>
            <w:r>
              <w:rPr>
                <w:rFonts w:ascii="仿宋_GB2312" w:hAnsi="仿宋_GB2312" w:cs="仿宋_GB2312" w:eastAsia="仿宋_GB2312"/>
              </w:rPr>
              <w:t>2.整机最小分辨率不大于 1% LEL；</w:t>
            </w:r>
          </w:p>
          <w:p>
            <w:pPr>
              <w:pStyle w:val="null3"/>
            </w:pPr>
            <w:r>
              <w:rPr>
                <w:rFonts w:ascii="仿宋_GB2312" w:hAnsi="仿宋_GB2312" w:cs="仿宋_GB2312" w:eastAsia="仿宋_GB2312"/>
              </w:rPr>
              <w:t>3.常温标准工况下全量程基本误差≤±5% FS（FS 代表满量程）；</w:t>
            </w:r>
          </w:p>
          <w:p>
            <w:pPr>
              <w:pStyle w:val="null3"/>
            </w:pPr>
            <w:r>
              <w:rPr>
                <w:rFonts w:ascii="仿宋_GB2312" w:hAnsi="仿宋_GB2312" w:cs="仿宋_GB2312" w:eastAsia="仿宋_GB2312"/>
              </w:rPr>
              <w:t>4.通电后预热稳定时间≤5min；</w:t>
            </w:r>
          </w:p>
          <w:p>
            <w:pPr>
              <w:pStyle w:val="null3"/>
            </w:pPr>
            <w:r>
              <w:rPr>
                <w:rFonts w:ascii="仿宋_GB2312" w:hAnsi="仿宋_GB2312" w:cs="仿宋_GB2312" w:eastAsia="仿宋_GB2312"/>
              </w:rPr>
              <w:t>5.DC12V～24V 直流供电；</w:t>
            </w:r>
          </w:p>
          <w:p>
            <w:pPr>
              <w:pStyle w:val="null3"/>
            </w:pPr>
            <w:r>
              <w:rPr>
                <w:rFonts w:ascii="仿宋_GB2312" w:hAnsi="仿宋_GB2312" w:cs="仿宋_GB2312" w:eastAsia="仿宋_GB2312"/>
              </w:rPr>
              <w:t>6.标配 RS485 接口；</w:t>
            </w:r>
          </w:p>
          <w:p>
            <w:pPr>
              <w:pStyle w:val="null3"/>
            </w:pPr>
            <w:r>
              <w:rPr>
                <w:rFonts w:ascii="仿宋_GB2312" w:hAnsi="仿宋_GB2312" w:cs="仿宋_GB2312" w:eastAsia="仿宋_GB2312"/>
              </w:rPr>
              <w:t>7.防护等级不低于IP65；</w:t>
            </w:r>
          </w:p>
          <w:p>
            <w:pPr>
              <w:pStyle w:val="null3"/>
            </w:pPr>
            <w:r>
              <w:rPr>
                <w:rFonts w:ascii="仿宋_GB2312" w:hAnsi="仿宋_GB2312" w:cs="仿宋_GB2312" w:eastAsia="仿宋_GB2312"/>
              </w:rPr>
              <w:t>8.工作温度-40℃～+60℃；</w:t>
            </w:r>
          </w:p>
          <w:p>
            <w:pPr>
              <w:pStyle w:val="null3"/>
            </w:pPr>
            <w:r>
              <w:rPr>
                <w:rFonts w:ascii="仿宋_GB2312" w:hAnsi="仿宋_GB2312" w:cs="仿宋_GB2312" w:eastAsia="仿宋_GB2312"/>
              </w:rPr>
              <w:t>9.工作湿度：0%～95%。</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甲烷传感器（2个）</w:t>
            </w:r>
          </w:p>
          <w:p>
            <w:pPr>
              <w:pStyle w:val="null3"/>
              <w:jc w:val="left"/>
            </w:pPr>
            <w:r>
              <w:rPr>
                <w:rFonts w:ascii="仿宋_GB2312" w:hAnsi="仿宋_GB2312" w:cs="仿宋_GB2312" w:eastAsia="仿宋_GB2312"/>
              </w:rPr>
              <w:t>1.测量量程 0%～100% LEL（甲烷）；</w:t>
            </w:r>
            <w:r>
              <w:br/>
            </w:r>
            <w:r>
              <w:rPr>
                <w:rFonts w:ascii="仿宋_GB2312" w:hAnsi="仿宋_GB2312" w:cs="仿宋_GB2312" w:eastAsia="仿宋_GB2312"/>
              </w:rPr>
              <w:t xml:space="preserve"> 2.整机最小分辨率不大于 1% LEL；</w:t>
            </w:r>
            <w:r>
              <w:br/>
            </w:r>
            <w:r>
              <w:rPr>
                <w:rFonts w:ascii="仿宋_GB2312" w:hAnsi="仿宋_GB2312" w:cs="仿宋_GB2312" w:eastAsia="仿宋_GB2312"/>
              </w:rPr>
              <w:t xml:space="preserve"> 3.常温标准工况下全量程基本误差≤±5% FS（FS 代表满量程）；</w:t>
            </w:r>
            <w:r>
              <w:br/>
            </w:r>
            <w:r>
              <w:rPr>
                <w:rFonts w:ascii="仿宋_GB2312" w:hAnsi="仿宋_GB2312" w:cs="仿宋_GB2312" w:eastAsia="仿宋_GB2312"/>
              </w:rPr>
              <w:t xml:space="preserve"> 4.通电后预热稳定时间≤5min；</w:t>
            </w:r>
          </w:p>
          <w:p>
            <w:pPr>
              <w:pStyle w:val="null3"/>
            </w:pPr>
            <w:r>
              <w:rPr>
                <w:rFonts w:ascii="仿宋_GB2312" w:hAnsi="仿宋_GB2312" w:cs="仿宋_GB2312" w:eastAsia="仿宋_GB2312"/>
              </w:rPr>
              <w:t>5.DC12V～24V 直流供电；</w:t>
            </w:r>
            <w:r>
              <w:br/>
            </w:r>
            <w:r>
              <w:rPr>
                <w:rFonts w:ascii="仿宋_GB2312" w:hAnsi="仿宋_GB2312" w:cs="仿宋_GB2312" w:eastAsia="仿宋_GB2312"/>
              </w:rPr>
              <w:t xml:space="preserve"> 6.标配 RS485 接口；</w:t>
            </w:r>
            <w:r>
              <w:br/>
            </w:r>
            <w:r>
              <w:rPr>
                <w:rFonts w:ascii="仿宋_GB2312" w:hAnsi="仿宋_GB2312" w:cs="仿宋_GB2312" w:eastAsia="仿宋_GB2312"/>
              </w:rPr>
              <w:t xml:space="preserve"> 7.防护等级不低于IP65；</w:t>
            </w:r>
            <w:r>
              <w:br/>
            </w:r>
            <w:r>
              <w:rPr>
                <w:rFonts w:ascii="仿宋_GB2312" w:hAnsi="仿宋_GB2312" w:cs="仿宋_GB2312" w:eastAsia="仿宋_GB2312"/>
              </w:rPr>
              <w:t xml:space="preserve"> 8.工作温度-40℃～+60℃；</w:t>
            </w:r>
            <w:r>
              <w:br/>
            </w:r>
            <w:r>
              <w:rPr>
                <w:rFonts w:ascii="仿宋_GB2312" w:hAnsi="仿宋_GB2312" w:cs="仿宋_GB2312" w:eastAsia="仿宋_GB2312"/>
              </w:rPr>
              <w:t xml:space="preserve"> 9.工作湿度：0%～95%。</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氧气浓度传感器（2个）</w:t>
            </w:r>
          </w:p>
          <w:p>
            <w:pPr>
              <w:pStyle w:val="null3"/>
            </w:pPr>
            <w:r>
              <w:rPr>
                <w:rFonts w:ascii="仿宋_GB2312" w:hAnsi="仿宋_GB2312" w:cs="仿宋_GB2312" w:eastAsia="仿宋_GB2312"/>
              </w:rPr>
              <w:t>1.测量量程 0～25% Vol；</w:t>
            </w:r>
            <w:r>
              <w:br/>
            </w:r>
            <w:r>
              <w:rPr>
                <w:rFonts w:ascii="仿宋_GB2312" w:hAnsi="仿宋_GB2312" w:cs="仿宋_GB2312" w:eastAsia="仿宋_GB2312"/>
              </w:rPr>
              <w:t xml:space="preserve"> 2.整机最小分辨率≤0.1% Vol；</w:t>
            </w:r>
            <w:r>
              <w:br/>
            </w:r>
            <w:r>
              <w:rPr>
                <w:rFonts w:ascii="仿宋_GB2312" w:hAnsi="仿宋_GB2312" w:cs="仿宋_GB2312" w:eastAsia="仿宋_GB2312"/>
              </w:rPr>
              <w:t xml:space="preserve"> 3.常温标准工况下全量程测量误差≤±3% FS（FS 为满量程）；</w:t>
            </w:r>
            <w:r>
              <w:br/>
            </w:r>
            <w:r>
              <w:rPr>
                <w:rFonts w:ascii="仿宋_GB2312" w:hAnsi="仿宋_GB2312" w:cs="仿宋_GB2312" w:eastAsia="仿宋_GB2312"/>
              </w:rPr>
              <w:t xml:space="preserve"> 4.通电预热至数据稳定时间≤5min；</w:t>
            </w:r>
            <w:r>
              <w:br/>
            </w:r>
            <w:r>
              <w:rPr>
                <w:rFonts w:ascii="仿宋_GB2312" w:hAnsi="仿宋_GB2312" w:cs="仿宋_GB2312" w:eastAsia="仿宋_GB2312"/>
              </w:rPr>
              <w:t xml:space="preserve"> 5.DC12V～24V 直流供电，标配RS485接口、Modbus-RTU 通讯协议；</w:t>
            </w:r>
            <w:r>
              <w:br/>
            </w:r>
            <w:r>
              <w:rPr>
                <w:rFonts w:ascii="仿宋_GB2312" w:hAnsi="仿宋_GB2312" w:cs="仿宋_GB2312" w:eastAsia="仿宋_GB2312"/>
              </w:rPr>
              <w:t xml:space="preserve"> 6.防护等级不低于 IP65，工作温度-40℃～+60℃；工作湿度：0%～95%。</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温湿度传感器（2组）</w:t>
            </w:r>
          </w:p>
          <w:p>
            <w:pPr>
              <w:pStyle w:val="null3"/>
            </w:pPr>
            <w:r>
              <w:rPr>
                <w:rFonts w:ascii="仿宋_GB2312" w:hAnsi="仿宋_GB2312" w:cs="仿宋_GB2312" w:eastAsia="仿宋_GB2312"/>
              </w:rPr>
              <w:t>1.温度测量范围 - 40℃～+120℃，25℃标准环境下温度测量误差≤±0.5℃；</w:t>
            </w:r>
            <w:r>
              <w:br/>
            </w:r>
            <w:r>
              <w:rPr>
                <w:rFonts w:ascii="仿宋_GB2312" w:hAnsi="仿宋_GB2312" w:cs="仿宋_GB2312" w:eastAsia="仿宋_GB2312"/>
              </w:rPr>
              <w:t xml:space="preserve"> 2.湿度测量范围 0% RH～99%RH，在25℃、60%RH 标准工况下湿度测量误差≤±3% RH；</w:t>
            </w:r>
            <w:r>
              <w:br/>
            </w:r>
            <w:r>
              <w:rPr>
                <w:rFonts w:ascii="仿宋_GB2312" w:hAnsi="仿宋_GB2312" w:cs="仿宋_GB2312" w:eastAsia="仿宋_GB2312"/>
              </w:rPr>
              <w:t xml:space="preserve"> 3.DC12V～24V 宽压直流供电，标配RS485接口；</w:t>
            </w:r>
            <w:r>
              <w:br/>
            </w:r>
            <w:r>
              <w:rPr>
                <w:rFonts w:ascii="仿宋_GB2312" w:hAnsi="仿宋_GB2312" w:cs="仿宋_GB2312" w:eastAsia="仿宋_GB2312"/>
              </w:rPr>
              <w:t xml:space="preserve"> 4.防护等级不低于IP65，适用环境 工作温度-40℃～+60℃；工作湿度：0%～95%。</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风速风向传感器（2组）</w:t>
            </w:r>
          </w:p>
          <w:p>
            <w:pPr>
              <w:pStyle w:val="null3"/>
            </w:pPr>
            <w:r>
              <w:rPr>
                <w:rFonts w:ascii="仿宋_GB2312" w:hAnsi="仿宋_GB2312" w:cs="仿宋_GB2312" w:eastAsia="仿宋_GB2312"/>
              </w:rPr>
              <w:t>1.风速测量范围 0～70m/s，风速最小分辨率≤0.1m/s，风速测量误差≤±(0.2+0.03V) m/s（V 为实测风速），动态响应时间≤1s；风向测量范围 0°～360°，风向最小分辨率≤1°，风向全量程测量误差≤±3°，起动风速≤0.5m/s；DC12V～24V 宽压直流供电，标配 RS485；</w:t>
            </w:r>
            <w:r>
              <w:br/>
            </w:r>
            <w:r>
              <w:rPr>
                <w:rFonts w:ascii="仿宋_GB2312" w:hAnsi="仿宋_GB2312" w:cs="仿宋_GB2312" w:eastAsia="仿宋_GB2312"/>
              </w:rPr>
              <w:t xml:space="preserve"> 2.防护等级不低于IP65，</w:t>
            </w:r>
            <w:r>
              <w:br/>
            </w:r>
            <w:r>
              <w:rPr>
                <w:rFonts w:ascii="仿宋_GB2312" w:hAnsi="仿宋_GB2312" w:cs="仿宋_GB2312" w:eastAsia="仿宋_GB2312"/>
              </w:rPr>
              <w:t xml:space="preserve"> 3.工作温度：-40℃～+60℃、0～95% RH。</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雨量计（2个）</w:t>
            </w:r>
          </w:p>
          <w:p>
            <w:pPr>
              <w:pStyle w:val="null3"/>
            </w:pPr>
            <w:r>
              <w:rPr>
                <w:rFonts w:ascii="仿宋_GB2312" w:hAnsi="仿宋_GB2312" w:cs="仿宋_GB2312" w:eastAsia="仿宋_GB2312"/>
              </w:rPr>
              <w:t>1.正常测雨强度0.01～4mm/min，短时暴雨允许通过最大雨强≥8mm/min；雨量分辨率≤0.5mm；额定雨强区间内整机测量误差≤±3%；</w:t>
            </w:r>
            <w:r>
              <w:br/>
            </w:r>
            <w:r>
              <w:rPr>
                <w:rFonts w:ascii="仿宋_GB2312" w:hAnsi="仿宋_GB2312" w:cs="仿宋_GB2312" w:eastAsia="仿宋_GB2312"/>
              </w:rPr>
              <w:t xml:space="preserve"> 2.承雨口Φ200mm、刃口40°～45°，304 不锈钢集雨筒、内置防尘滤网；DC12V～24V供电，RS485；</w:t>
            </w:r>
            <w:r>
              <w:br/>
            </w:r>
            <w:r>
              <w:rPr>
                <w:rFonts w:ascii="仿宋_GB2312" w:hAnsi="仿宋_GB2312" w:cs="仿宋_GB2312" w:eastAsia="仿宋_GB2312"/>
              </w:rPr>
              <w:t xml:space="preserve"> 3.防护等级不低于IP65；</w:t>
            </w:r>
            <w:r>
              <w:br/>
            </w:r>
            <w:r>
              <w:rPr>
                <w:rFonts w:ascii="仿宋_GB2312" w:hAnsi="仿宋_GB2312" w:cs="仿宋_GB2312" w:eastAsia="仿宋_GB2312"/>
              </w:rPr>
              <w:t xml:space="preserve"> 4.工作环境：0℃～+55℃；</w:t>
            </w:r>
            <w:r>
              <w:br/>
            </w:r>
            <w:r>
              <w:rPr>
                <w:rFonts w:ascii="仿宋_GB2312" w:hAnsi="仿宋_GB2312" w:cs="仿宋_GB2312" w:eastAsia="仿宋_GB2312"/>
              </w:rPr>
              <w:t xml:space="preserve"> 5.湿度：0～95% RH。</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大气压力传感器（2个）</w:t>
            </w:r>
          </w:p>
          <w:p>
            <w:pPr>
              <w:pStyle w:val="null3"/>
            </w:pPr>
            <w:r>
              <w:rPr>
                <w:rFonts w:ascii="仿宋_GB2312" w:hAnsi="仿宋_GB2312" w:cs="仿宋_GB2312" w:eastAsia="仿宋_GB2312"/>
              </w:rPr>
              <w:t>1.测量量程：0～120kPa；25℃、75kPa 标准工况下测量误差≤±0.15kPa；最小分辨率≤0.1kPa；</w:t>
            </w:r>
            <w:r>
              <w:br/>
            </w:r>
            <w:r>
              <w:rPr>
                <w:rFonts w:ascii="仿宋_GB2312" w:hAnsi="仿宋_GB2312" w:cs="仿宋_GB2312" w:eastAsia="仿宋_GB2312"/>
              </w:rPr>
              <w:t xml:space="preserve"> 2.年度长期漂移≤0.1kPa/年；动态响应时间≤1s；DC12V～24V 供电 RS485；</w:t>
            </w:r>
            <w:r>
              <w:br/>
            </w:r>
            <w:r>
              <w:rPr>
                <w:rFonts w:ascii="仿宋_GB2312" w:hAnsi="仿宋_GB2312" w:cs="仿宋_GB2312" w:eastAsia="仿宋_GB2312"/>
              </w:rPr>
              <w:t xml:space="preserve"> 3.防护等级不低于IP65；</w:t>
            </w:r>
            <w:r>
              <w:br/>
            </w:r>
            <w:r>
              <w:rPr>
                <w:rFonts w:ascii="仿宋_GB2312" w:hAnsi="仿宋_GB2312" w:cs="仿宋_GB2312" w:eastAsia="仿宋_GB2312"/>
              </w:rPr>
              <w:t xml:space="preserve"> 4.工作环境：-40℃～+60℃；</w:t>
            </w:r>
            <w:r>
              <w:br/>
            </w:r>
            <w:r>
              <w:rPr>
                <w:rFonts w:ascii="仿宋_GB2312" w:hAnsi="仿宋_GB2312" w:cs="仿宋_GB2312" w:eastAsia="仿宋_GB2312"/>
              </w:rPr>
              <w:t xml:space="preserve"> 5.湿度 0～95% RH。</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PM2.5/10传感器（2组）</w:t>
            </w:r>
          </w:p>
          <w:p>
            <w:pPr>
              <w:pStyle w:val="null3"/>
            </w:pPr>
            <w:r>
              <w:rPr>
                <w:rFonts w:ascii="仿宋_GB2312" w:hAnsi="仿宋_GB2312" w:cs="仿宋_GB2312" w:eastAsia="仿宋_GB2312"/>
              </w:rPr>
              <w:t>1.测量量程 0～1000μg/m³；25℃标准工况下整机示值误差≤±10%；最小分辨率≤1μg/m³；整机年度长期漂移≤1%/年；动态响应时间≤90s；DC12V～24V 供电，RS485；</w:t>
            </w:r>
            <w:r>
              <w:br/>
            </w:r>
            <w:r>
              <w:rPr>
                <w:rFonts w:ascii="仿宋_GB2312" w:hAnsi="仿宋_GB2312" w:cs="仿宋_GB2312" w:eastAsia="仿宋_GB2312"/>
              </w:rPr>
              <w:t xml:space="preserve"> 2.防护等级不低于IP65；</w:t>
            </w:r>
            <w:r>
              <w:br/>
            </w:r>
            <w:r>
              <w:rPr>
                <w:rFonts w:ascii="仿宋_GB2312" w:hAnsi="仿宋_GB2312" w:cs="仿宋_GB2312" w:eastAsia="仿宋_GB2312"/>
              </w:rPr>
              <w:t xml:space="preserve"> 3.工作环境：-40℃～+60℃；</w:t>
            </w:r>
            <w:r>
              <w:br/>
            </w:r>
            <w:r>
              <w:rPr>
                <w:rFonts w:ascii="仿宋_GB2312" w:hAnsi="仿宋_GB2312" w:cs="仿宋_GB2312" w:eastAsia="仿宋_GB2312"/>
              </w:rPr>
              <w:t xml:space="preserve"> 4.湿度：0～95% RH。</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光合有效辐射传感器（2个）</w:t>
            </w:r>
          </w:p>
          <w:p>
            <w:pPr>
              <w:pStyle w:val="null3"/>
            </w:pPr>
            <w:r>
              <w:rPr>
                <w:rFonts w:ascii="仿宋_GB2312" w:hAnsi="仿宋_GB2312" w:cs="仿宋_GB2312" w:eastAsia="仿宋_GB2312"/>
              </w:rPr>
              <w:t>1.光谱响应范围400nm～700nm；测量量程≥0～2500μmol/(㎡・s)；最小分辨率≤1μmol/(㎡・s)；标准工况下整机示值误差≤±2% FS；DC12V～24V 供电，RS485；</w:t>
            </w:r>
            <w:r>
              <w:br/>
            </w:r>
            <w:r>
              <w:rPr>
                <w:rFonts w:ascii="仿宋_GB2312" w:hAnsi="仿宋_GB2312" w:cs="仿宋_GB2312" w:eastAsia="仿宋_GB2312"/>
              </w:rPr>
              <w:t xml:space="preserve"> 2.防护等级不低于IP65；</w:t>
            </w:r>
            <w:r>
              <w:br/>
            </w:r>
            <w:r>
              <w:rPr>
                <w:rFonts w:ascii="仿宋_GB2312" w:hAnsi="仿宋_GB2312" w:cs="仿宋_GB2312" w:eastAsia="仿宋_GB2312"/>
              </w:rPr>
              <w:t xml:space="preserve"> 3.工作环境：-40℃～+60℃；</w:t>
            </w:r>
            <w:r>
              <w:br/>
            </w:r>
            <w:r>
              <w:rPr>
                <w:rFonts w:ascii="仿宋_GB2312" w:hAnsi="仿宋_GB2312" w:cs="仿宋_GB2312" w:eastAsia="仿宋_GB2312"/>
              </w:rPr>
              <w:t xml:space="preserve"> 4.湿度：0～95% RH。</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土壤温湿度/电导率（2组）</w:t>
            </w:r>
          </w:p>
          <w:p>
            <w:pPr>
              <w:pStyle w:val="null3"/>
            </w:pPr>
            <w:r>
              <w:rPr>
                <w:rFonts w:ascii="仿宋_GB2312" w:hAnsi="仿宋_GB2312" w:cs="仿宋_GB2312" w:eastAsia="仿宋_GB2312"/>
              </w:rPr>
              <w:t xml:space="preserve">1.温度量程-40～80℃，分辨率0.1℃，精度 ±0.5℃（25℃）；               </w:t>
            </w:r>
            <w:r>
              <w:br/>
            </w:r>
            <w:r>
              <w:rPr>
                <w:rFonts w:ascii="仿宋_GB2312" w:hAnsi="仿宋_GB2312" w:cs="仿宋_GB2312" w:eastAsia="仿宋_GB2312"/>
              </w:rPr>
              <w:t xml:space="preserve"> 2.湿度量程0-100%，分辨率0.1%，精度0-50%内±2%，50-100%内±3%（棕壤，60%,25℃）。</w:t>
            </w:r>
            <w:r>
              <w:br/>
            </w:r>
            <w:r>
              <w:rPr>
                <w:rFonts w:ascii="仿宋_GB2312" w:hAnsi="仿宋_GB2312" w:cs="仿宋_GB2312" w:eastAsia="仿宋_GB2312"/>
              </w:rPr>
              <w:t xml:space="preserve"> 3.标配 RS485 接口</w:t>
            </w:r>
            <w:r>
              <w:br/>
            </w:r>
            <w:r>
              <w:rPr>
                <w:rFonts w:ascii="仿宋_GB2312" w:hAnsi="仿宋_GB2312" w:cs="仿宋_GB2312" w:eastAsia="仿宋_GB2312"/>
              </w:rPr>
              <w:t xml:space="preserve"> 4.DC12～24V 供电，RS485，年稳定性≤5% FS。</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土壤PH传感器（2个）</w:t>
            </w:r>
          </w:p>
          <w:p>
            <w:pPr>
              <w:pStyle w:val="null3"/>
            </w:pPr>
            <w:r>
              <w:rPr>
                <w:rFonts w:ascii="仿宋_GB2312" w:hAnsi="仿宋_GB2312" w:cs="仿宋_GB2312" w:eastAsia="仿宋_GB2312"/>
              </w:rPr>
              <w:t>1.测量量程≥3～9PH，最小分辨率≤0.1PH；标准工况示值误差≤±0.3PH；</w:t>
            </w:r>
            <w:r>
              <w:br/>
            </w:r>
            <w:r>
              <w:rPr>
                <w:rFonts w:ascii="仿宋_GB2312" w:hAnsi="仿宋_GB2312" w:cs="仿宋_GB2312" w:eastAsia="仿宋_GB2312"/>
              </w:rPr>
              <w:t xml:space="preserve"> 2.整机工作环境：-40℃～60℃，响应时间≤10s；</w:t>
            </w:r>
            <w:r>
              <w:br/>
            </w:r>
            <w:r>
              <w:rPr>
                <w:rFonts w:ascii="仿宋_GB2312" w:hAnsi="仿宋_GB2312" w:cs="仿宋_GB2312" w:eastAsia="仿宋_GB2312"/>
              </w:rPr>
              <w:t xml:space="preserve"> 3.DC12～24V 供电，RS485，年稳定性≤5% FS。</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太阳能监测仪组件（2套）</w:t>
            </w:r>
          </w:p>
          <w:p>
            <w:pPr>
              <w:pStyle w:val="null3"/>
            </w:pPr>
            <w:r>
              <w:rPr>
                <w:rFonts w:ascii="仿宋_GB2312" w:hAnsi="仿宋_GB2312" w:cs="仿宋_GB2312" w:eastAsia="仿宋_GB2312"/>
              </w:rPr>
              <w:t>1.太阳能光伏组件：峰值功率≥200W，A级单晶硅电池片，组件转换效率≥20.5%，满足：-40℃～+85℃户外全天候使用；</w:t>
            </w:r>
            <w:r>
              <w:br/>
            </w:r>
            <w:r>
              <w:rPr>
                <w:rFonts w:ascii="仿宋_GB2312" w:hAnsi="仿宋_GB2312" w:cs="仿宋_GB2312" w:eastAsia="仿宋_GB2312"/>
              </w:rPr>
              <w:t xml:space="preserve"> 2.储能用胶体蓄电池12V100Ah；</w:t>
            </w:r>
            <w:r>
              <w:br/>
            </w:r>
            <w:r>
              <w:rPr>
                <w:rFonts w:ascii="仿宋_GB2312" w:hAnsi="仿宋_GB2312" w:cs="仿宋_GB2312" w:eastAsia="仿宋_GB2312"/>
              </w:rPr>
              <w:t xml:space="preserve"> 3.配套安装套件：含金属光伏固定支架、国标铜芯防水线缆、防水接线盒、接地配件、安装抱箍、全套固定紧固件等完整辅材；</w:t>
            </w:r>
            <w:r>
              <w:br/>
            </w:r>
            <w:r>
              <w:rPr>
                <w:rFonts w:ascii="仿宋_GB2312" w:hAnsi="仿宋_GB2312" w:cs="仿宋_GB2312" w:eastAsia="仿宋_GB2312"/>
              </w:rPr>
              <w:t xml:space="preserve"> 4.性能要求：整套供电系统可支撑全部监测传感器连续 3 天阴雨无光照正常运行。</w:t>
            </w:r>
            <w:r>
              <w:br/>
            </w:r>
            <w:r>
              <w:rPr>
                <w:rFonts w:ascii="仿宋_GB2312" w:hAnsi="仿宋_GB2312" w:cs="仿宋_GB2312" w:eastAsia="仿宋_GB2312"/>
              </w:rPr>
              <w:t xml:space="preserve"> 5.整套供电系统防护等级不低于IP65，可适应户外全天候使用。</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碳通量塔（2套）</w:t>
            </w:r>
          </w:p>
          <w:p>
            <w:pPr>
              <w:pStyle w:val="null3"/>
            </w:pPr>
            <w:r>
              <w:rPr>
                <w:rFonts w:ascii="仿宋_GB2312" w:hAnsi="仿宋_GB2312" w:cs="仿宋_GB2312" w:eastAsia="仿宋_GB2312"/>
              </w:rPr>
              <w:t>1.10米单管拉线式金属杆：采用碳素结构钢，杆体壁厚≥4mm，整体热镀锌防腐处理，设计抗风等级≥12 级（32.7m/s），预留多层传感器安装接口和爬梯；</w:t>
            </w:r>
            <w:r>
              <w:br/>
            </w:r>
            <w:r>
              <w:rPr>
                <w:rFonts w:ascii="仿宋_GB2312" w:hAnsi="仿宋_GB2312" w:cs="仿宋_GB2312" w:eastAsia="仿宋_GB2312"/>
              </w:rPr>
              <w:t xml:space="preserve"> 2.配套基础地笼：采用Φ16mm以上钢筋焊接而成，尺寸≥800mm×800mm×800mm；安全拉线：采用Φ8mm以上热镀锌钢丝绳，共3组，每组2根，配套花篮螺栓和地锚；</w:t>
            </w:r>
            <w:r>
              <w:br/>
            </w:r>
            <w:r>
              <w:rPr>
                <w:rFonts w:ascii="仿宋_GB2312" w:hAnsi="仿宋_GB2312" w:cs="仿宋_GB2312" w:eastAsia="仿宋_GB2312"/>
              </w:rPr>
              <w:t xml:space="preserve"> 3.配套避雷针和接地系统：避雷针高度≥1.5 米，接地电阻≤10Ω。</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围栏（32米）</w:t>
            </w:r>
          </w:p>
          <w:p>
            <w:pPr>
              <w:pStyle w:val="null3"/>
              <w:jc w:val="left"/>
            </w:pPr>
            <w:r>
              <w:rPr>
                <w:rFonts w:ascii="仿宋_GB2312" w:hAnsi="仿宋_GB2312" w:cs="仿宋_GB2312" w:eastAsia="仿宋_GB2312"/>
              </w:rPr>
              <w:t>1. 内侧围护有效净空≥4m×4m，围合布局适配通量塔及传感器布设；围栏成品高度≥1.8m；</w:t>
            </w:r>
          </w:p>
          <w:p>
            <w:pPr>
              <w:pStyle w:val="null3"/>
            </w:pPr>
            <w:r>
              <w:rPr>
                <w:rFonts w:ascii="仿宋_GB2312" w:hAnsi="仿宋_GB2312" w:cs="仿宋_GB2312" w:eastAsia="仿宋_GB2312"/>
              </w:rPr>
              <w:t>2. 立柱 Q235 钢材，壁厚≥2.0mm；围网包塑丝径≥3.5mm，网孔 50×50mm，材质符合 GB/T343 国标；整体热镀锌 + 浸塑双重防腐处理；</w:t>
            </w:r>
          </w:p>
          <w:p>
            <w:pPr>
              <w:pStyle w:val="null3"/>
            </w:pPr>
            <w:r>
              <w:rPr>
                <w:rFonts w:ascii="仿宋_GB2312" w:hAnsi="仿宋_GB2312" w:cs="仿宋_GB2312" w:eastAsia="仿宋_GB2312"/>
              </w:rPr>
              <w:t>3. 配套 C20 混凝土预埋基础、检修单开门（门洞宽度≥1m）、门锁、全套固定五金配件；</w:t>
            </w:r>
          </w:p>
          <w:p>
            <w:pPr>
              <w:pStyle w:val="null3"/>
            </w:pPr>
            <w:r>
              <w:rPr>
                <w:rFonts w:ascii="仿宋_GB2312" w:hAnsi="仿宋_GB2312" w:cs="仿宋_GB2312" w:eastAsia="仿宋_GB2312"/>
              </w:rPr>
              <w:t>4. 产品适应野外全天候环境，抗冲击耐腐蚀。</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树木生长监测仪（106个）（核心产品）</w:t>
            </w:r>
          </w:p>
          <w:p>
            <w:pPr>
              <w:pStyle w:val="null3"/>
            </w:pPr>
            <w:r>
              <w:rPr>
                <w:rFonts w:ascii="仿宋_GB2312" w:hAnsi="仿宋_GB2312" w:cs="仿宋_GB2312" w:eastAsia="仿宋_GB2312"/>
              </w:rPr>
              <w:t>1.远距离LORA数据采集与通信</w:t>
            </w:r>
            <w:r>
              <w:br/>
            </w:r>
            <w:r>
              <w:rPr>
                <w:rFonts w:ascii="仿宋_GB2312" w:hAnsi="仿宋_GB2312" w:cs="仿宋_GB2312" w:eastAsia="仿宋_GB2312"/>
              </w:rPr>
              <w:t xml:space="preserve"> 树木周长范围：0～950mm（可定制延长无限距离）</w:t>
            </w:r>
            <w:r>
              <w:br/>
            </w:r>
            <w:r>
              <w:rPr>
                <w:rFonts w:ascii="仿宋_GB2312" w:hAnsi="仿宋_GB2312" w:cs="仿宋_GB2312" w:eastAsia="仿宋_GB2312"/>
              </w:rPr>
              <w:t xml:space="preserve"> ▲2.精度：±0.5mm；(提供上述要求的相关证明材料，包括：设备彩页截图或者设备彩色照片或者设备官网截图或者第三方检测报告)</w:t>
            </w:r>
            <w:r>
              <w:br/>
            </w:r>
            <w:r>
              <w:rPr>
                <w:rFonts w:ascii="仿宋_GB2312" w:hAnsi="仿宋_GB2312" w:cs="仿宋_GB2312" w:eastAsia="仿宋_GB2312"/>
              </w:rPr>
              <w:t xml:space="preserve"> ▲3.分辨率：0.1mm；(提供上述要求的相关证明材料，包括：设备彩页截图或者设备彩色照片或者设备官网截图或者第三方检测报告)</w:t>
            </w:r>
            <w:r>
              <w:br/>
            </w:r>
            <w:r>
              <w:rPr>
                <w:rFonts w:ascii="仿宋_GB2312" w:hAnsi="仿宋_GB2312" w:cs="仿宋_GB2312" w:eastAsia="仿宋_GB2312"/>
              </w:rPr>
              <w:t xml:space="preserve"> 4.采集点通信距离：3000米（可视）</w:t>
            </w:r>
            <w:r>
              <w:br/>
            </w:r>
            <w:r>
              <w:rPr>
                <w:rFonts w:ascii="仿宋_GB2312" w:hAnsi="仿宋_GB2312" w:cs="仿宋_GB2312" w:eastAsia="仿宋_GB2312"/>
              </w:rPr>
              <w:t xml:space="preserve"> 5.采集间隔：1～720小时可设置</w:t>
            </w:r>
            <w:r>
              <w:br/>
            </w:r>
            <w:r>
              <w:rPr>
                <w:rFonts w:ascii="仿宋_GB2312" w:hAnsi="仿宋_GB2312" w:cs="仿宋_GB2312" w:eastAsia="仿宋_GB2312"/>
              </w:rPr>
              <w:t xml:space="preserve"> ▲6.支持北斗卫星定位；(提供上述要求的相关证明材料，包括：设备彩页截图或者设备彩色照片或者设备官网截图或者第三方检测报告)</w:t>
            </w:r>
            <w:r>
              <w:br/>
            </w:r>
            <w:r>
              <w:rPr>
                <w:rFonts w:ascii="仿宋_GB2312" w:hAnsi="仿宋_GB2312" w:cs="仿宋_GB2312" w:eastAsia="仿宋_GB2312"/>
              </w:rPr>
              <w:t xml:space="preserve"> 7.单点定位精度（水平）：≤5m</w:t>
            </w:r>
            <w:r>
              <w:br/>
            </w:r>
            <w:r>
              <w:rPr>
                <w:rFonts w:ascii="仿宋_GB2312" w:hAnsi="仿宋_GB2312" w:cs="仿宋_GB2312" w:eastAsia="仿宋_GB2312"/>
              </w:rPr>
              <w:t xml:space="preserve"> 8.单点定位精度（垂直）：≤10m</w:t>
            </w:r>
            <w:r>
              <w:br/>
            </w:r>
            <w:r>
              <w:rPr>
                <w:rFonts w:ascii="仿宋_GB2312" w:hAnsi="仿宋_GB2312" w:cs="仿宋_GB2312" w:eastAsia="仿宋_GB2312"/>
              </w:rPr>
              <w:t xml:space="preserve"> 9.测量绳长：≥1m（长度可定制）</w:t>
            </w:r>
            <w:r>
              <w:br/>
            </w:r>
            <w:r>
              <w:rPr>
                <w:rFonts w:ascii="仿宋_GB2312" w:hAnsi="仿宋_GB2312" w:cs="仿宋_GB2312" w:eastAsia="仿宋_GB2312"/>
              </w:rPr>
              <w:t xml:space="preserve"> 10.重量：≥150g</w:t>
            </w:r>
            <w:r>
              <w:br/>
            </w:r>
            <w:r>
              <w:rPr>
                <w:rFonts w:ascii="仿宋_GB2312" w:hAnsi="仿宋_GB2312" w:cs="仿宋_GB2312" w:eastAsia="仿宋_GB2312"/>
              </w:rPr>
              <w:t xml:space="preserve"> 11.防护等级：≥IP65</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安防预警摄像机（2套）</w:t>
            </w:r>
          </w:p>
          <w:p>
            <w:pPr>
              <w:pStyle w:val="null3"/>
              <w:jc w:val="left"/>
            </w:pPr>
            <w:r>
              <w:rPr>
                <w:rFonts w:ascii="仿宋_GB2312" w:hAnsi="仿宋_GB2312" w:cs="仿宋_GB2312" w:eastAsia="仿宋_GB2312"/>
              </w:rPr>
              <w:t>1.1/1.8英寸ProgressiveScanCOMS；</w:t>
            </w:r>
          </w:p>
          <w:p>
            <w:pPr>
              <w:pStyle w:val="null3"/>
            </w:pPr>
            <w:r>
              <w:rPr>
                <w:rFonts w:ascii="仿宋_GB2312" w:hAnsi="仿宋_GB2312" w:cs="仿宋_GB2312" w:eastAsia="仿宋_GB2312"/>
              </w:rPr>
              <w:t xml:space="preserve">2.存储扩展：内置Micro SD/Micro SDHC/Mi cro SDXC插槽，最大支持256GB，配备128GB内存卡；  </w:t>
            </w:r>
            <w:r>
              <w:br/>
            </w:r>
            <w:r>
              <w:rPr>
                <w:rFonts w:ascii="仿宋_GB2312" w:hAnsi="仿宋_GB2312" w:cs="仿宋_GB2312" w:eastAsia="仿宋_GB2312"/>
              </w:rPr>
              <w:t xml:space="preserve"> 3.像素：≥400万；</w:t>
            </w:r>
          </w:p>
          <w:p>
            <w:pPr>
              <w:pStyle w:val="null3"/>
            </w:pPr>
            <w:r>
              <w:rPr>
                <w:rFonts w:ascii="仿宋_GB2312" w:hAnsi="仿宋_GB2312" w:cs="仿宋_GB2312" w:eastAsia="仿宋_GB2312"/>
              </w:rPr>
              <w:t>4.供电：DC12V或POE供电</w:t>
            </w:r>
            <w:r>
              <w:br/>
            </w:r>
            <w:r>
              <w:rPr>
                <w:rFonts w:ascii="仿宋_GB2312" w:hAnsi="仿宋_GB2312" w:cs="仿宋_GB2312" w:eastAsia="仿宋_GB2312"/>
              </w:rPr>
              <w:t xml:space="preserve"> 5.最高分辨率≥2560×1440，帧率≥25fps；</w:t>
            </w:r>
            <w:r>
              <w:br/>
            </w:r>
            <w:r>
              <w:rPr>
                <w:rFonts w:ascii="仿宋_GB2312" w:hAnsi="仿宋_GB2312" w:cs="仿宋_GB2312" w:eastAsia="仿宋_GB2312"/>
              </w:rPr>
              <w:t xml:space="preserve"> 6.整机防护等级不低于IP66；</w:t>
            </w:r>
            <w:r>
              <w:br/>
            </w:r>
            <w:r>
              <w:rPr>
                <w:rFonts w:ascii="仿宋_GB2312" w:hAnsi="仿宋_GB2312" w:cs="仿宋_GB2312" w:eastAsia="仿宋_GB2312"/>
              </w:rPr>
              <w:t xml:space="preserve"> 7.支持 ONVIF、GB/T28181 通用网络协议。</w:t>
            </w:r>
            <w:r>
              <w:br/>
            </w:r>
            <w:r>
              <w:rPr>
                <w:rFonts w:ascii="仿宋_GB2312" w:hAnsi="仿宋_GB2312" w:cs="仿宋_GB2312" w:eastAsia="仿宋_GB2312"/>
              </w:rPr>
              <w:t xml:space="preserve"> 8.支持 H.265/H.264 视频编码标准。</w:t>
            </w:r>
          </w:p>
          <w:p>
            <w:pPr>
              <w:pStyle w:val="null3"/>
            </w:pPr>
            <w:r>
              <w:rPr>
                <w:rFonts w:ascii="仿宋_GB2312" w:hAnsi="仿宋_GB2312" w:cs="仿宋_GB2312" w:eastAsia="仿宋_GB2312"/>
              </w:rPr>
              <w:t>9.提供自设备最终验收合格之日起连续五年的数据传输支持，在项目实施区域内保障设备与平台正常通信，包含设备所需的物联网通信卡、通信流量、网络接入及数据正常传输所需的全部技术支持。</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监测样地标识牌（10个）</w:t>
            </w:r>
          </w:p>
          <w:p>
            <w:pPr>
              <w:pStyle w:val="null3"/>
            </w:pPr>
            <w:r>
              <w:rPr>
                <w:rFonts w:ascii="仿宋_GB2312" w:hAnsi="仿宋_GB2312" w:cs="仿宋_GB2312" w:eastAsia="仿宋_GB2312"/>
              </w:rPr>
              <w:t>1.尺寸：≥90×60cm；</w:t>
            </w:r>
            <w:r>
              <w:br/>
            </w:r>
            <w:r>
              <w:rPr>
                <w:rFonts w:ascii="仿宋_GB2312" w:hAnsi="仿宋_GB2312" w:cs="仿宋_GB2312" w:eastAsia="仿宋_GB2312"/>
              </w:rPr>
              <w:t xml:space="preserve"> 2.热镀锌钢架：采用Q235B钢材，壁厚≥2.0mm，单立柱结构，整体热镀锌防腐处理。</w:t>
            </w:r>
            <w:r>
              <w:br/>
            </w:r>
            <w:r>
              <w:rPr>
                <w:rFonts w:ascii="仿宋_GB2312" w:hAnsi="仿宋_GB2312" w:cs="仿宋_GB2312" w:eastAsia="仿宋_GB2312"/>
              </w:rPr>
              <w:t xml:space="preserve"> 3.铝合金面板：厚度≥1.5mm，采用符合国标的铝合金板材牌面；</w:t>
            </w:r>
            <w:r>
              <w:br/>
            </w:r>
            <w:r>
              <w:rPr>
                <w:rFonts w:ascii="仿宋_GB2312" w:hAnsi="仿宋_GB2312" w:cs="仿宋_GB2312" w:eastAsia="仿宋_GB2312"/>
              </w:rPr>
              <w:t xml:space="preserve"> 4.采用反光膜印刷：逆反射系数符合国标要求。</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样地界桩（40个）</w:t>
            </w:r>
          </w:p>
          <w:p>
            <w:pPr>
              <w:pStyle w:val="null3"/>
            </w:pPr>
            <w:r>
              <w:rPr>
                <w:rFonts w:ascii="仿宋_GB2312" w:hAnsi="仿宋_GB2312" w:cs="仿宋_GB2312" w:eastAsia="仿宋_GB2312"/>
              </w:rPr>
              <w:t>1.桩体为无碱玻璃纤维拉挤玻璃钢一体成型，平均壁厚≥4.5mm，加强配置局部壁厚不低于5mm；</w:t>
            </w:r>
            <w:r>
              <w:br/>
            </w:r>
            <w:r>
              <w:rPr>
                <w:rFonts w:ascii="仿宋_GB2312" w:hAnsi="仿宋_GB2312" w:cs="仿宋_GB2312" w:eastAsia="仿宋_GB2312"/>
              </w:rPr>
              <w:t xml:space="preserve"> 2.截面外廓尺寸≥100mm×100mm，地面以上桩体长度≥1000mm，尺寸公差 ±10mm；</w:t>
            </w:r>
            <w:r>
              <w:br/>
            </w:r>
            <w:r>
              <w:rPr>
                <w:rFonts w:ascii="仿宋_GB2312" w:hAnsi="仿宋_GB2312" w:cs="仿宋_GB2312" w:eastAsia="仿宋_GB2312"/>
              </w:rPr>
              <w:t xml:space="preserve"> 3.桩体无分层、气泡、开裂缺陷，抗冲击、耐酸碱腐蚀，适用野外：-35℃～70℃环境；</w:t>
            </w:r>
            <w:r>
              <w:br/>
            </w:r>
            <w:r>
              <w:rPr>
                <w:rFonts w:ascii="仿宋_GB2312" w:hAnsi="仿宋_GB2312" w:cs="仿宋_GB2312" w:eastAsia="仿宋_GB2312"/>
              </w:rPr>
              <w:t xml:space="preserve"> 4.桩体带反光标识文字，图案耐久性好且不脱落；</w:t>
            </w:r>
            <w:r>
              <w:br/>
            </w:r>
            <w:r>
              <w:rPr>
                <w:rFonts w:ascii="仿宋_GB2312" w:hAnsi="仿宋_GB2312" w:cs="仿宋_GB2312" w:eastAsia="仿宋_GB2312"/>
              </w:rPr>
              <w:t xml:space="preserve"> 5.配套预埋固定施工方案，埋设深度≥350mm。</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供应商须在合同签订之日起120日内完成全部设备的采购、供货及安装调试工作。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预付款，合同生效后，甲方收到乙方开具的合法有效等额票据之日起，达到付款条件起30个工作日内，支付合同总金额的40.0%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进度款，乙方完成全部设备交付、安装调试并经甲方验收合格后，甲方收到乙方开具的合法有效全额发票之日起，达到付款条件起30个工作日内，支付合同总金额的60.0%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合格（达到国家及行业质量验收标准）。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自验收合格之日起五年，免费维修、更换、人工、差旅、运输全免。（仅限于非人为及自然灾害导致设备损坏）</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按照《中华人民共和国民法典》规定及合同条款约定进行处理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报价要求：投标人在填报投标报价时应综合考虑以下各类价格组成内容，包括但不限于人工费、设备费（主材及辅材）、安装及调试费用、材料费、流量费、保险、利润、规费、税金、货物运至最终目的地的运输费、专用工具使用费、伴随交付的有关费用等与之相关的一切直接费、间接费。要求的其他相关费用以本招标文件的内容和要求作为投标依据。 2.本项目采购包1投标人如所投产品符合本国产品标准，需完整响应《关于符合本国产品标准的声明函》。支持政策：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投标函 中小企业声明函 投标文件封面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在开标前6个月缴纳的至少一个月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详细评审资料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投标人提供本单位在开标前6个月已缴纳的至少一个月纳税证明或完税证明，依法免税的单位应提供相关证明材料；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详细评审资料 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的财务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详细评审资料 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行为的书面声明，投标人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tc>
        <w:tc>
          <w:tcPr>
            <w:tcW w:type="dxa" w:w="1661"/>
          </w:tcPr>
          <w:p>
            <w:pPr>
              <w:pStyle w:val="null3"/>
            </w:pPr>
            <w:r>
              <w:rPr>
                <w:rFonts w:ascii="仿宋_GB2312" w:hAnsi="仿宋_GB2312" w:cs="仿宋_GB2312" w:eastAsia="仿宋_GB2312"/>
              </w:rPr>
              <w:t>详细评审资料 投标函 供应商资格证明文件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展和改革委员会、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投标文件应当按招标文件要求签署、盖章，否则评标委员会应当将其投标文件作为无效处理。</w:t>
            </w:r>
          </w:p>
        </w:tc>
        <w:tc>
          <w:tcPr>
            <w:tcW w:type="dxa" w:w="1661"/>
          </w:tcPr>
          <w:p>
            <w:pPr>
              <w:pStyle w:val="null3"/>
            </w:pPr>
            <w:r>
              <w:rPr>
                <w:rFonts w:ascii="仿宋_GB2312" w:hAnsi="仿宋_GB2312" w:cs="仿宋_GB2312" w:eastAsia="仿宋_GB2312"/>
              </w:rPr>
              <w:t>开标一览表 技术响应偏离表 本国产品说明 中小企业声明函 商务应答表 政府采购拒绝商业贿赂书 中国境内生产的组件成本核算基本规则 详细评审资料 投标保证金缴纳凭证 产品技术参数表 投标函 残疾人福利性单位声明函 标的清单 关于符合本国产品标准的声明函 投标文件封面 分项报价清单 供应商资格证明文件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投标文件的报价应当不超过招标文件中规定的最高限价，否则评标委员会应当将其投标文件作为无效处理。</w:t>
            </w:r>
          </w:p>
        </w:tc>
        <w:tc>
          <w:tcPr>
            <w:tcW w:type="dxa" w:w="1661"/>
          </w:tcPr>
          <w:p>
            <w:pPr>
              <w:pStyle w:val="null3"/>
            </w:pPr>
            <w:r>
              <w:rPr>
                <w:rFonts w:ascii="仿宋_GB2312" w:hAnsi="仿宋_GB2312" w:cs="仿宋_GB2312" w:eastAsia="仿宋_GB2312"/>
              </w:rPr>
              <w:t>标的清单 投标文件封面 分项报价清单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投标文件未发现法律、法规和招标文件规定的其他无效情形，否则评标委员会应当将其投标文件作为无效处理。</w:t>
            </w:r>
          </w:p>
        </w:tc>
        <w:tc>
          <w:tcPr>
            <w:tcW w:type="dxa" w:w="1661"/>
          </w:tcPr>
          <w:p>
            <w:pPr>
              <w:pStyle w:val="null3"/>
            </w:pPr>
            <w:r>
              <w:rPr>
                <w:rFonts w:ascii="仿宋_GB2312" w:hAnsi="仿宋_GB2312" w:cs="仿宋_GB2312" w:eastAsia="仿宋_GB2312"/>
              </w:rPr>
              <w:t>投标函 关于符合本国产品标准的声明函 政府采购拒绝商业贿赂书 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投标文件是否响应本项目商务要求及采购内容及要求中的标记“★”条款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投标保证金缴纳凭证 投标函 商务应答表 政府采购拒绝商业贿赂书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w:t>
            </w:r>
          </w:p>
        </w:tc>
        <w:tc>
          <w:tcPr>
            <w:tcW w:type="dxa" w:w="1661"/>
          </w:tcPr>
          <w:p>
            <w:pPr>
              <w:pStyle w:val="null3"/>
            </w:pPr>
            <w:r>
              <w:rPr>
                <w:rFonts w:ascii="仿宋_GB2312" w:hAnsi="仿宋_GB2312" w:cs="仿宋_GB2312" w:eastAsia="仿宋_GB2312"/>
              </w:rPr>
              <w:t>投标函 供应商资格证明文件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根据产品技术和性能响应情况进行评审，完全响应并满足参数需求的得40分，其中： ①技术参数中标记“▲”项的参数需求为重要技术参数，每负偏离一项扣减4.0分，扣完为止。 ②技术参数中其他参数为一般技术参数，每负偏离一项扣减0.2分，扣完为止。 备注： 1.证明材料要求：每一项技术参数无论是否为正偏离或负偏离或响应，均应提供相关证明材料。各证明材料中的响应指标应保持一致，若不一致以最不利于技术参数响应的证明材料进行评审，未按要求提供证明材料视为负偏离。 2.投标文件中技术参数响应情况内容必须与证明材料内容一致。如在评审过程中发现不一致时，投标文件填写响应情况为正偏离或无偏离的，而证明材料为负偏离的，则以证明材料内容进行评审；投标文件填写响应情况为负偏离，而证明材料为正偏离或无偏离的。则以响应情况内容进行评审。 3.本招标文件“第三章 招标项目技术、服务、商务及其他要求”中如有明确要求的，按照相关要求提供证明材料。若未明确要求的，投标人应对所投设备需尽可能多的提供相关技术、功能的证明材料(包括：设备彩页截图或者设备彩色照片或者设备官网截图或者第三方检测报告)予以佐证；投标人自行承担因材料提供不全导致技术参数评审无法赋分的不利风险。如未按照招标要求提供相关证明材料的视为负偏离。 4.投标人需对所提供内容的真实性负责。</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分项报价清单</w:t>
            </w:r>
          </w:p>
          <w:p>
            <w:pPr>
              <w:pStyle w:val="null3"/>
            </w:pPr>
            <w:r>
              <w:rPr>
                <w:rFonts w:ascii="仿宋_GB2312" w:hAnsi="仿宋_GB2312" w:cs="仿宋_GB2312" w:eastAsia="仿宋_GB2312"/>
              </w:rPr>
              <w:t>详细评审资料</w:t>
            </w:r>
          </w:p>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投标人承诺所投产品进货渠道正规，无假货、水货、翻新货且无产权纠纷得4分，未提供或提供不全的得0分。 备注：投标人需提供符合上述要求的承诺书且加盖公章，格式及内容自拟。</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分项报价清单</w:t>
            </w:r>
          </w:p>
          <w:p>
            <w:pPr>
              <w:pStyle w:val="null3"/>
            </w:pPr>
            <w:r>
              <w:rPr>
                <w:rFonts w:ascii="仿宋_GB2312" w:hAnsi="仿宋_GB2312" w:cs="仿宋_GB2312" w:eastAsia="仿宋_GB2312"/>
              </w:rPr>
              <w:t>详细评审资料</w:t>
            </w:r>
          </w:p>
          <w:p>
            <w:pPr>
              <w:pStyle w:val="null3"/>
            </w:pPr>
            <w:r>
              <w:rPr>
                <w:rFonts w:ascii="仿宋_GB2312" w:hAnsi="仿宋_GB2312" w:cs="仿宋_GB2312" w:eastAsia="仿宋_GB2312"/>
              </w:rPr>
              <w:t>供应商资格证明文件</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详细评审资料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投标人提供的整体实施方案，包含①整体实施思路及保障措施；②全过程协调机制及保障措施；③风险防控措施。共3项内容，每项满分2分，满分6分。 其中，每项以具体内容与本项目及所投产品的针对性、可行性、方案完善性作为得分点；每个得分点按照1分、0.5分、0.1分、0分作为具体赋分分值。具体要求如下： （一）整体实施思路及保障措施（满分2分） 针对性（1 分） 1 分：紧密结合本项目监测样地布设及碳汇计量监测要求制定，针对性强。 0.5 分：基本结合本项目实际，有一定针对性。 0.1 分：内容通用，未体现本项目特点。 0 分：未提供该项内容。 可行性（1 分） 1 分：方案具体可行，时间节点明确，设备配置合理，考虑野外作业特点。 0.5 分：有基本实施思路，具备一定可操作性。 0.1 分：内容空泛，无具体可执行措施。 0 分：未提供该项内容。 （二）全过程协调机制及保障措施（满分 2 分） 针对性（1 分） 1 分：明确与本项目相关各方的对接机制，符合多方协作要求。 0.5 分：提及主要协作方，有基本协调思路。 0.1 分：仅作通用表述，无针对性。 0 分：未提供该项内容。 可行性（1 分） 1 分：协调机制完善，责任明确，可有效保障项目推进。 0.5 分：有基本协调机制，具备一定可操作性。 0.1 分：内容空泛，无具体执行方案。 0 分：未提供该项内容。 （三）风险防控措施（满分 2 分） 针对性（1 分） 1 分：识别本项目主要风险点，防控措施贴合实际。 0.5 分：提及部分常见风险，有基本防控意识。 0.1 分：仅作通用表述，无针对性。 0 分：未提供该项内容。 可行性（1 分） 1 分：防控措施具体有效，有明确应急方案。 0.5 分：有基本防控措施，具备一定可操作性。 0.1 分：内容空泛，无具体执行方案。 0 分：未提供该项内容。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详细评审资料</w:t>
            </w:r>
          </w:p>
          <w:p>
            <w:pPr>
              <w:pStyle w:val="null3"/>
            </w:pPr>
            <w:r>
              <w:rPr>
                <w:rFonts w:ascii="仿宋_GB2312" w:hAnsi="仿宋_GB2312" w:cs="仿宋_GB2312" w:eastAsia="仿宋_GB2312"/>
              </w:rPr>
              <w:t>投标函</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投标人提供的组织保证措施，包含①组织团队设置及项目拟派实施团队人员情况；②实施方案；③安装调试方案和验收方案。共3项内容，每项满分2分，满分6分。 其中，每项以具体内容与本项目及所投产品的针对性、可行性作为得分点；每个得分点按照1分、0.5分、0.1分、0分作为具体赋分分值。具体要求如下： （一）组织团队设置及项目拟派实施团队人员情况（满分 2 分） 针对性（1 分） 1 分：紧密结合本项目野外施工特点配置团队，人员和能力符合要求； 0.5 分：基本配置了项目所需人员，有一定针对性； 0.1 分：仅作通用表述，未体现本项目特点； 0 分：未提供该项内容。 可行性（1 分） 1 分：团队职责明确，人员配置合理，可保障项目顺利实施； 0.5 分：有基本的团队设置，具备一定可操作性； 0.1 分：内容空泛，无具体人员安排； 0 分：未提供该项内容。 （二）现场组织方案（满分 2 分） 针对性（1 分） 1 分：紧密结合本项目监测样地分布及野外作业特点制定； 0.5 分：基本符合本项目要求，有一定针对性； 0.1 分：仅作通用表述，未体现本项目特点； 0 分：未提供该项内容。 可行性（1 分） 1 分：流程清晰，安全措施到位，可有效指导现场作业； 0.5 分：有基本的施工流程，具备一定可操作性； 0.1 分：内容空泛，无具体施工安排； 0 分：未提供该项内容。 （三）安装调试方案和验收方案（满分 2 分） 针对性（1 分） 1 分：紧密结合本项目监测设备特点及碳汇计量验收要求制定； 0.5 分：基本符合本项目设备安装及验收要求，有一定针对性； 0.1 分：仅作通用表述，未体现本项目特点； 0 分：未提供该项内容。 可行性（1 分） 1 分：安装调试流程规范，验收标准明确，可保障项目质量； 0.5 分：有基本的安装调试及验收流程，具备一定可操作性； 0.1 分：内容空泛，无具体流程和标准； 0 分：未提供该项内容。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供应商资格证明文件</w:t>
            </w:r>
          </w:p>
          <w:p>
            <w:pPr>
              <w:pStyle w:val="null3"/>
            </w:pPr>
            <w:r>
              <w:rPr>
                <w:rFonts w:ascii="仿宋_GB2312" w:hAnsi="仿宋_GB2312" w:cs="仿宋_GB2312" w:eastAsia="仿宋_GB2312"/>
              </w:rPr>
              <w:t>详细评审资料</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包含①产品售后管控措施；②售后服务方案（包含售后人员配置，故障处理响应时间）；③提供设备定期巡检保障措施；④提供培训内容、培训计划、培训频次。共4项内容，每项2分，满分8分。 其中，每项以具体内容与本项目及所投产品的针对性、可行性作为得分点；每个得分点按照1分、0.5分、0.1分、0分作为具体赋分分值。具体要求如下： （一）产品售后管控措施（满分 2 分） 针对性（1 分） 1 分：紧密结合本项目特点制定，针对性强； 0.5 分：基本符合本项目需求，有一定针对性； 0.1 分：内容通用，未体现本项目特点； 0 分：未提供该项内容。 可行性（1 分） 1 分：管控体系完善，责任明确，可有效保障设备运行； 0.5 分：有基本管控机制，具备一定可操作性； 0.1 分：内容空泛，无具体措施； 0 分：未提供该项内容。 （二）售后服务方案（满分 2 分） 针对性（1 分） 1 分：紧密结合本项目特点制定，针对性强； 0.5 分：基本符合本项目需求，有一定针对性； 0.1 分：内容通用，未体现本项目特点； 0 分：未提供该项内容。 可行性（1 分） 1 分：人员配置合理，响应时间明确，可快速处理故障； 0.5 分：有基本人员和响应机制，具备一定可操作性； 0.1 分：内容空泛，无具体安排； 0 分：未提供该项内容。 （三）设备定期巡检保障措施（满分 2 分） 针对性（1 分） 1 分：紧密结合本项目特点制定，针对性强； 0.5 分：基本符合本项目需求，有一定针对性； 0.1 分：内容通用，未体现本项目特点； 0 分：未提供该项内容。 可行性（1 分） 1 分：巡检内容明确，频次合理，可及时发现隐患； 0.5 分：有基本巡检计划，具备一定可操作性； 0.1 分：内容空泛，无具体安排； 0 分：未提供该项内容。 （四）技术培训服务方案（满分 2 分） 针对性（1 分） 1 分：紧密结合本项目特点制定，针对性强； 0.5 分：基本符合本项目需求，有一定针对性； 0.1 分：内容通用，未体现本项目特点； 0 分：未提供该项内容。 可行性（1 分） 1 分：培训内容、计划明确，可有效提升操作能力； 0.5 分：有基本培训计划，具备一定可操作性； 0.1 分：内容空泛，无具体安排； 0 分：未提供该项内容。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详细评审资料</w:t>
            </w:r>
          </w:p>
          <w:p>
            <w:pPr>
              <w:pStyle w:val="null3"/>
            </w:pPr>
            <w:r>
              <w:rPr>
                <w:rFonts w:ascii="仿宋_GB2312" w:hAnsi="仿宋_GB2312" w:cs="仿宋_GB2312" w:eastAsia="仿宋_GB2312"/>
              </w:rPr>
              <w:t>供应商资格证明文件</w:t>
            </w:r>
          </w:p>
          <w:p>
            <w:pPr>
              <w:pStyle w:val="null3"/>
            </w:pPr>
            <w:r>
              <w:rPr>
                <w:rFonts w:ascii="仿宋_GB2312" w:hAnsi="仿宋_GB2312" w:cs="仿宋_GB2312" w:eastAsia="仿宋_GB2312"/>
              </w:rPr>
              <w:t>投标函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提供投标人或生产厂家自2023年1月1日起至今的类似项目业绩合同（以合同签订日期为准，需提供复印件），每提供1个得2.5分，最高得5分，不重复累计得分。 评审依据：类似项目业绩以合同为准，时间以合同体现时间为准，投标人应在投标文件中提供符合上述要求的业绩合同复印件或扫描件。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详细评审资料</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详见附件：分项报价清单</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详见附件：详细评审资料</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详见附件：政府采购拒绝商业贿赂书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