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版本号：HC-NZC-2026-10420260430001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2026年预算管理一体化系统新增模块运维项目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HC-NZC-2026-104</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2026年预算管理一体化系统新增模块运维项目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HC-NZC-2026-104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2026年预算管理一体化系统新增模块运维项目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预算管理一体化系统新增模块运维项目，陕西省预算管理一体化系统新增模块通过财政部门、预算单位间联网，实现财政预算管理业务办理。系统涵盖绩效管理、综合监控、领导驾驶舱、地方财政分析评价、预算执行信息管理、教育专户管理等模块，有力支撑用户办理相关业务。通过对全省各级财政部门及预算单位日常运维支持，保障陕西省预算管理一体化系统新增模块高效、安全、稳定地运行，有力支撑财政预算管理工作。具体详见磋商文件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1、特殊资格要求：1、具有独立承担民事责任能力的法人、其他组织或自然人：法人或者其他组织提供营业执照等证明文件，自然人提供身份证件，供应商需在项目电子化交易系统中按要求上传相应证明文件； 2、财务状况报告：供应商2024年或2025年经审计的财务报告（事业法人可提供部门决算报告）或基本开户银行出具的资信证明或专业担保机构出具的投标担保函，供应商需在项目电子化交易系统中按要求上传相应证明文件 3、书面声明：参加政府采购活动前3年内在经营活动中没有重大违法记录的书面声明；其中：重大违法记录是指供应商因违法经营受到刑事处罚或者责令停产停业、吊销许可证或者执照、较大数额罚款等行政处罚： 4、具有履行合同所必需的设备和专业技术能力的承诺函：具有履行合同所必需的设备和专业技术能力书面声明函，供应商需在项目电子化交易系统中按要求上传相应证明文件并进行电子签章； 5、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 6、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站(www.creditchina.gov.cn)、中国政府采购网(www.ccgp.gov.cn)查询相关主体信用记录网页截图保存； 7、法定代表人授权书（附法定代表人、被授权人身份证复印件）及被授权人身份证原件（法定代表人直接参加招标，须提供法定代表人身份证明及身份证原件）；非法人单位参照执行。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西安市莲湖区冰窖巷6号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陕西省西安市碑林区南二环成长大厦8层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陈辉、张工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18392767108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成交单位在领取成交通知书前，须向采购代理机构支付采购代理服务费。 采购代理服务费参照《国家计委关于印发&lt;招标代理服务收费管理暂行办法&gt;的通知》（计价格[2002]1980号）和国家发展和改革委员会办公厅颁发的《关于招标代理服务收费有关问题的通知》（发改办价格[2003]857号）规定标准下浮30%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联系电话：18392767108</w:t>
      </w:r>
    </w:p>
    <w:p>
      <w:pPr>
        <w:pStyle w:val="null3"/>
      </w:pPr>
      <w:r>
        <w:rPr>
          <w:rFonts w:ascii="仿宋_GB2312" w:hAnsi="仿宋_GB2312" w:cs="仿宋_GB2312" w:eastAsia="仿宋_GB2312"/>
        </w:rPr>
        <w:t>地址：陕西省西安市碑林区南二环成长大厦8层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预算管理一体化系统新增模块运维项目，陕西省预算管理一体化系统新增模块通过财政部门、预算单位间联网，实现财政预算管理业务办理。系统涵盖绩效管理、综合监控、领导驾驶舱、地方财政分析评价、预算执行信息管理、教育专户管理等模块，有力支撑用户办理相关业务。通过对全省各级财政部门及预算单位日常运维支持，保障陕西省预算管理一体化系统新增模块高效、安全、稳定地运行，有力支撑财政预算管理工作。具体详见磋商文件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2026年预算管理一体化系统新增模块运维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标的名称：2026年预算管理一体化系统新增模块运维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2026年预算管理一体化系统新增模块运维项目</w:t>
            </w:r>
          </w:p>
          <w:p>
            <w:pPr>
              <w:pStyle w:val="null3"/>
            </w:pPr>
            <w:r>
              <w:rPr>
                <w:rFonts w:ascii="仿宋_GB2312" w:hAnsi="仿宋_GB2312" w:cs="仿宋_GB2312" w:eastAsia="仿宋_GB2312"/>
                <w:b/>
                <w:color w:val="000000"/>
              </w:rPr>
              <w:t>采购需求：</w:t>
            </w:r>
          </w:p>
          <w:p>
            <w:pPr>
              <w:pStyle w:val="null3"/>
            </w:pPr>
            <w:r>
              <w:rPr>
                <w:rFonts w:ascii="仿宋_GB2312" w:hAnsi="仿宋_GB2312" w:cs="仿宋_GB2312" w:eastAsia="仿宋_GB2312"/>
                <w:sz w:val="20"/>
                <w:color w:val="000000"/>
              </w:rPr>
              <w:t>一、基本信息</w:t>
            </w:r>
          </w:p>
          <w:p>
            <w:pPr>
              <w:pStyle w:val="null3"/>
            </w:pPr>
            <w:r>
              <w:rPr>
                <w:rFonts w:ascii="仿宋_GB2312" w:hAnsi="仿宋_GB2312" w:cs="仿宋_GB2312" w:eastAsia="仿宋_GB2312"/>
                <w:sz w:val="20"/>
                <w:color w:val="000000"/>
              </w:rPr>
              <w:t>（一）项目名称：</w:t>
            </w:r>
            <w:r>
              <w:rPr>
                <w:rFonts w:ascii="仿宋_GB2312" w:hAnsi="仿宋_GB2312" w:cs="仿宋_GB2312" w:eastAsia="仿宋_GB2312"/>
                <w:sz w:val="20"/>
                <w:color w:val="000000"/>
              </w:rPr>
              <w:t>2026年预算管理一体化系统新增模块运维项目</w:t>
            </w:r>
          </w:p>
          <w:p>
            <w:pPr>
              <w:pStyle w:val="null3"/>
            </w:pPr>
            <w:r>
              <w:rPr>
                <w:rFonts w:ascii="仿宋_GB2312" w:hAnsi="仿宋_GB2312" w:cs="仿宋_GB2312" w:eastAsia="仿宋_GB2312"/>
                <w:sz w:val="20"/>
                <w:color w:val="000000"/>
              </w:rPr>
              <w:t>（二）项目功能或目标：为全省各级财政部门、预算单位开展绩效管理、综合监控、领导驾驶舱、地方财政分析评价、预算执行信息管理、教育专户管理等业务提供日常维护服务，提高系统整体稳定性，确保陕西省预算管理一体化系统新增模块稳定运行，保证各级财政部门及预算单位日常预算管理业务顺利开展。</w:t>
            </w:r>
          </w:p>
          <w:p>
            <w:pPr>
              <w:pStyle w:val="null3"/>
            </w:pPr>
            <w:r>
              <w:rPr>
                <w:rFonts w:ascii="仿宋_GB2312" w:hAnsi="仿宋_GB2312" w:cs="仿宋_GB2312" w:eastAsia="仿宋_GB2312"/>
                <w:sz w:val="20"/>
                <w:color w:val="000000"/>
              </w:rPr>
              <w:t>（三）服务期限：</w:t>
            </w:r>
            <w:r>
              <w:rPr>
                <w:rFonts w:ascii="仿宋_GB2312" w:hAnsi="仿宋_GB2312" w:cs="仿宋_GB2312" w:eastAsia="仿宋_GB2312"/>
                <w:sz w:val="20"/>
                <w:color w:val="000000"/>
              </w:rPr>
              <w:t>1年</w:t>
            </w:r>
          </w:p>
          <w:p>
            <w:pPr>
              <w:pStyle w:val="null3"/>
            </w:pPr>
            <w:r>
              <w:rPr>
                <w:rFonts w:ascii="仿宋_GB2312" w:hAnsi="仿宋_GB2312" w:cs="仿宋_GB2312" w:eastAsia="仿宋_GB2312"/>
                <w:sz w:val="20"/>
                <w:color w:val="000000"/>
              </w:rPr>
              <w:t>（四）服务地点：陕西省财政厅指定地点</w:t>
            </w:r>
          </w:p>
          <w:p>
            <w:pPr>
              <w:pStyle w:val="null3"/>
            </w:pPr>
            <w:r>
              <w:rPr>
                <w:rFonts w:ascii="仿宋_GB2312" w:hAnsi="仿宋_GB2312" w:cs="仿宋_GB2312" w:eastAsia="仿宋_GB2312"/>
                <w:sz w:val="20"/>
                <w:color w:val="000000"/>
              </w:rPr>
              <w:t>（五）项目资金情况：预算金额为</w:t>
            </w:r>
            <w:r>
              <w:rPr>
                <w:rFonts w:ascii="仿宋_GB2312" w:hAnsi="仿宋_GB2312" w:cs="仿宋_GB2312" w:eastAsia="仿宋_GB2312"/>
                <w:sz w:val="20"/>
                <w:color w:val="000000"/>
              </w:rPr>
              <w:t>78万元</w:t>
            </w:r>
          </w:p>
          <w:p>
            <w:pPr>
              <w:pStyle w:val="null3"/>
            </w:pPr>
            <w:r>
              <w:rPr>
                <w:rFonts w:ascii="仿宋_GB2312" w:hAnsi="仿宋_GB2312" w:cs="仿宋_GB2312" w:eastAsia="仿宋_GB2312"/>
                <w:sz w:val="20"/>
                <w:color w:val="000000"/>
              </w:rPr>
              <w:t>二、项目参数</w:t>
            </w:r>
          </w:p>
          <w:p>
            <w:pPr>
              <w:pStyle w:val="null3"/>
            </w:pPr>
            <w:r>
              <w:rPr>
                <w:rFonts w:ascii="仿宋_GB2312" w:hAnsi="仿宋_GB2312" w:cs="仿宋_GB2312" w:eastAsia="仿宋_GB2312"/>
                <w:sz w:val="20"/>
                <w:color w:val="000000"/>
              </w:rPr>
              <w:t>（一）项目概况</w:t>
            </w:r>
          </w:p>
          <w:p>
            <w:pPr>
              <w:pStyle w:val="null3"/>
            </w:pPr>
            <w:r>
              <w:rPr>
                <w:rFonts w:ascii="仿宋_GB2312" w:hAnsi="仿宋_GB2312" w:cs="仿宋_GB2312" w:eastAsia="仿宋_GB2312"/>
                <w:sz w:val="20"/>
                <w:color w:val="000000"/>
              </w:rPr>
              <w:t>陕西省预算管理一体化系统新增模块通过财政部门、预算单位间联网，实现财政预算管理业务办理。系统涵盖绩效管理、综合监控、领导驾驶舱、地方财政分析评价、预算执行信息管理、教育专户管理等模块，有力支撑用户办理相关业务。通过对全省各级财政部门及预算单位日常运维支持，保障陕西省预算管理一体化系统新增模块高效、安全、稳定地运行，有力支撑财政预算管理工作。</w:t>
            </w:r>
          </w:p>
          <w:p>
            <w:pPr>
              <w:pStyle w:val="null3"/>
            </w:pPr>
            <w:r>
              <w:rPr>
                <w:rFonts w:ascii="仿宋_GB2312" w:hAnsi="仿宋_GB2312" w:cs="仿宋_GB2312" w:eastAsia="仿宋_GB2312"/>
                <w:sz w:val="20"/>
                <w:color w:val="000000"/>
              </w:rPr>
              <w:t>（二）服务对象</w:t>
            </w:r>
          </w:p>
          <w:p>
            <w:pPr>
              <w:pStyle w:val="null3"/>
            </w:pPr>
            <w:r>
              <w:rPr>
                <w:rFonts w:ascii="仿宋_GB2312" w:hAnsi="仿宋_GB2312" w:cs="仿宋_GB2312" w:eastAsia="仿宋_GB2312"/>
                <w:sz w:val="20"/>
                <w:color w:val="000000"/>
              </w:rPr>
              <w:t>全省各级财政部门和业务相关预算单位。</w:t>
            </w:r>
          </w:p>
          <w:p>
            <w:pPr>
              <w:pStyle w:val="null3"/>
            </w:pPr>
            <w:r>
              <w:rPr>
                <w:rFonts w:ascii="仿宋_GB2312" w:hAnsi="仿宋_GB2312" w:cs="仿宋_GB2312" w:eastAsia="仿宋_GB2312"/>
                <w:sz w:val="20"/>
                <w:color w:val="000000"/>
              </w:rPr>
              <w:t>（三）服务内容</w:t>
            </w:r>
          </w:p>
          <w:p>
            <w:pPr>
              <w:pStyle w:val="null3"/>
            </w:pPr>
            <w:r>
              <w:rPr>
                <w:rFonts w:ascii="仿宋_GB2312" w:hAnsi="仿宋_GB2312" w:cs="仿宋_GB2312" w:eastAsia="仿宋_GB2312"/>
                <w:sz w:val="20"/>
                <w:color w:val="000000"/>
              </w:rPr>
              <w:t>1.业务办理保障服务</w:t>
            </w:r>
          </w:p>
          <w:p>
            <w:pPr>
              <w:pStyle w:val="null3"/>
            </w:pPr>
            <w:r>
              <w:rPr>
                <w:rFonts w:ascii="仿宋_GB2312" w:hAnsi="仿宋_GB2312" w:cs="仿宋_GB2312" w:eastAsia="仿宋_GB2312"/>
                <w:sz w:val="20"/>
                <w:color w:val="000000"/>
              </w:rPr>
              <w:t>向用户提供绩效管理、综合监控、领导驾驶舱、地方财政分析评价、预算执行信息管理、教育专户管理等模块的运维服务，保障用户通过系统正常办理预算管理业务。</w:t>
            </w:r>
          </w:p>
          <w:p>
            <w:pPr>
              <w:pStyle w:val="null3"/>
            </w:pPr>
            <w:r>
              <w:rPr>
                <w:rFonts w:ascii="仿宋_GB2312" w:hAnsi="仿宋_GB2312" w:cs="仿宋_GB2312" w:eastAsia="仿宋_GB2312"/>
                <w:sz w:val="20"/>
                <w:color w:val="000000"/>
              </w:rPr>
              <w:t>2.日常技术支持服务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1）驻场服务</w:t>
            </w:r>
          </w:p>
          <w:p>
            <w:pPr>
              <w:pStyle w:val="null3"/>
            </w:pPr>
            <w:r>
              <w:rPr>
                <w:rFonts w:ascii="仿宋_GB2312" w:hAnsi="仿宋_GB2312" w:cs="仿宋_GB2312" w:eastAsia="仿宋_GB2312"/>
                <w:sz w:val="20"/>
                <w:color w:val="000000"/>
              </w:rPr>
              <w:t>提供驻场运维服务，负责系统运行监控以及问题处理工作。服务期间，运维服务人员在国家法定工作日提供技术支持服务，通过</w:t>
            </w:r>
            <w:r>
              <w:rPr>
                <w:rFonts w:ascii="仿宋_GB2312" w:hAnsi="仿宋_GB2312" w:cs="仿宋_GB2312" w:eastAsia="仿宋_GB2312"/>
                <w:sz w:val="20"/>
                <w:color w:val="000000"/>
              </w:rPr>
              <w:t>96702热线电话提供一线坐席和二线运维服务。在接到用户的使用及技术问题后，一线运维服务人员应立即响应并及时解决；遇到疑难问题与用户协商后，提交二线运维服务人员处理，处理完成后反馈用户。必要时，可根据业务需要延长驻场时间，配合采购人完成相关临时工作任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2）电话服务及现场服务</w:t>
            </w:r>
          </w:p>
          <w:p>
            <w:pPr>
              <w:pStyle w:val="null3"/>
            </w:pPr>
            <w:r>
              <w:rPr>
                <w:rFonts w:ascii="仿宋_GB2312" w:hAnsi="仿宋_GB2312" w:cs="仿宋_GB2312" w:eastAsia="仿宋_GB2312"/>
                <w:sz w:val="20"/>
                <w:color w:val="000000"/>
              </w:rPr>
              <w:t>向用户提供电话等技术服务，进行业务系统流程及操作咨询和答疑。有必要时，按照业务需要，采购人派运维服务人员上门现场服务，保证用户问题得到有效解决，系统平稳运行。</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3）远程技术支持服务</w:t>
            </w:r>
          </w:p>
          <w:p>
            <w:pPr>
              <w:pStyle w:val="null3"/>
            </w:pPr>
            <w:r>
              <w:rPr>
                <w:rFonts w:ascii="仿宋_GB2312" w:hAnsi="仿宋_GB2312" w:cs="仿宋_GB2312" w:eastAsia="仿宋_GB2312"/>
                <w:sz w:val="20"/>
                <w:color w:val="000000"/>
              </w:rPr>
              <w:t>提供远程技术支持服务，解决驻场人员无法解决的复杂问题，并提供系统优化升级等技术开发支持。</w:t>
            </w:r>
          </w:p>
          <w:p>
            <w:pPr>
              <w:pStyle w:val="null3"/>
            </w:pPr>
            <w:r>
              <w:rPr>
                <w:rFonts w:ascii="仿宋_GB2312" w:hAnsi="仿宋_GB2312" w:cs="仿宋_GB2312" w:eastAsia="仿宋_GB2312"/>
                <w:sz w:val="20"/>
                <w:color w:val="000000"/>
              </w:rPr>
              <w:t>3.软件系统运行维护服务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对陕西省预算管理一体化系统新增模块提供基本的软件运行维护服务，防止系统出现技术性问题，具体包括：每工作日检查系统运行状态，对系统应用服务的运行情况检查，出现异常问题及时上报，提交问题情况说明，并排查、处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2）负责该系统因硬件设备调整或故障、网络环境调整或故障、部署方案调整等各种原因引起的重新部署、迁移、测试以及升级工作，以保障该系统正常稳定运行。</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问题收集与故障处理。解决陕西省预算管理一体化系统新增模块用户的系统问题，通过线上及线下方式收集、排查并解决系统运行中的各类运维问题，及时反馈用户，建立完善的及时响应和应急处理机制，保障系统安全稳定运行。</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4）系统优化升级与改造服务。基于业务需求、用户需求及性能评估，优化一体化系统新增模块，并结合实际调整或改造系统功能。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5）建立完善的运维台账。运维台账应该包括运维技术人员的工作日志、问题处理记录及巡检记录等。</w:t>
            </w:r>
          </w:p>
          <w:p>
            <w:pPr>
              <w:pStyle w:val="null3"/>
            </w:pPr>
            <w:r>
              <w:rPr>
                <w:rFonts w:ascii="仿宋_GB2312" w:hAnsi="仿宋_GB2312" w:cs="仿宋_GB2312" w:eastAsia="仿宋_GB2312"/>
                <w:sz w:val="20"/>
                <w:color w:val="000000"/>
              </w:rPr>
              <w:t>4.业务数据统计服务</w:t>
            </w:r>
          </w:p>
          <w:p>
            <w:pPr>
              <w:pStyle w:val="null3"/>
            </w:pPr>
            <w:r>
              <w:rPr>
                <w:rFonts w:ascii="仿宋_GB2312" w:hAnsi="仿宋_GB2312" w:cs="仿宋_GB2312" w:eastAsia="仿宋_GB2312"/>
                <w:sz w:val="20"/>
                <w:color w:val="000000"/>
              </w:rPr>
              <w:t>根据用户的需求，提供系统相关数据加工处理，统计分析服务，保证统计数据的完整性和准确性。</w:t>
            </w:r>
          </w:p>
          <w:p>
            <w:pPr>
              <w:pStyle w:val="null3"/>
            </w:pPr>
            <w:r>
              <w:rPr>
                <w:rFonts w:ascii="仿宋_GB2312" w:hAnsi="仿宋_GB2312" w:cs="仿宋_GB2312" w:eastAsia="仿宋_GB2312"/>
                <w:sz w:val="20"/>
                <w:color w:val="000000"/>
              </w:rPr>
              <w:t>5.数据维护运维服务</w:t>
            </w:r>
          </w:p>
          <w:p>
            <w:pPr>
              <w:pStyle w:val="null3"/>
            </w:pPr>
            <w:r>
              <w:rPr>
                <w:rFonts w:ascii="仿宋_GB2312" w:hAnsi="仿宋_GB2312" w:cs="仿宋_GB2312" w:eastAsia="仿宋_GB2312"/>
                <w:sz w:val="20"/>
                <w:color w:val="000000"/>
              </w:rPr>
              <w:t>为各级财政部门提供保证业务正常开展的数据维护服务，包括绩效指标数据、监控模版数据、财政区划数据、报表任务数据、财政专户数据等基础类数据的维护。</w:t>
            </w:r>
          </w:p>
          <w:p>
            <w:pPr>
              <w:pStyle w:val="null3"/>
            </w:pPr>
            <w:r>
              <w:rPr>
                <w:rFonts w:ascii="仿宋_GB2312" w:hAnsi="仿宋_GB2312" w:cs="仿宋_GB2312" w:eastAsia="仿宋_GB2312"/>
                <w:sz w:val="20"/>
                <w:color w:val="000000"/>
              </w:rPr>
              <w:t>6.安全运维服务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定期巡检服务：通过日常巡检工作，有效保证系统的正常运行，巡检内容包括网络连接状态、微服务内存和磁盘空间使用情况、系统服务进程运行状态等相关性能指标情况。每周对系统运行情况开展巡检服务，每次巡检均需做好记录，每月汇总形成巡检报告；对巡检过程中发现的问题或缺陷应及时分析处理，形成报告。</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故障处理服务：建立该系统应急处理机制，提供故障应急处理服务，当网络访问异常或系统运行出现故障时，运维人员应立即上报，根据要求对问题进行排查和处理，使系统正常运行，保障系统在运维年度内的运行安全和数据安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3）安全保障服务：提供安全基线检查、安全加固、漏洞处理、应急响应、应急演练等安全保障支持，保证系统在运维年度内运行安全。</w:t>
            </w:r>
          </w:p>
          <w:p>
            <w:pPr>
              <w:pStyle w:val="null3"/>
            </w:pPr>
            <w:r>
              <w:rPr>
                <w:rFonts w:ascii="仿宋_GB2312" w:hAnsi="仿宋_GB2312" w:cs="仿宋_GB2312" w:eastAsia="仿宋_GB2312"/>
                <w:sz w:val="20"/>
                <w:color w:val="000000"/>
              </w:rPr>
              <w:t>7.系统更新服务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Bug修复：及时对系统产生的bug、漏洞进行修复，保证预算管理一体化系统新增模块用户稳定使用系统。修复内容包括但不限于功能缺失、功能异常、响应缓慢、内存泄漏、卡顿和死机、布局错乱、文字显示问题、图标显示错误、数据丢失、数据不一致、数据错误、浏览器兼容性、操作系统兼容性、设备兼容性、权限漏洞、数据泄露、注入攻击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功能优化：对系统的代码进行持续优化，提高系统的性能和稳定性；对数据库进行优化，提高数据库的查询速度和响应时间；根据系统的实际运行情况，调整系统的配置参数，以达到最佳的性能表现；根据用户使用过程中的需求对现有功能模块进行优化调整，提升用户满意度，优化功能流程。</w:t>
            </w:r>
          </w:p>
          <w:p>
            <w:pPr>
              <w:pStyle w:val="null3"/>
            </w:pPr>
            <w:r>
              <w:rPr>
                <w:rFonts w:ascii="仿宋_GB2312" w:hAnsi="仿宋_GB2312" w:cs="仿宋_GB2312" w:eastAsia="仿宋_GB2312"/>
                <w:sz w:val="20"/>
                <w:color w:val="000000"/>
              </w:rPr>
              <w:t>8.系统培训服务。根据要求，每年为陕西省预算管理一体化系统新增模块用户至少提供1次线下集中或线上视频系统操作培训，使用户能够正确熟练地使用系统。提供系统常见问题解答及操作指南编写等服务，并根据系统升级、优化情况，更新操作指南等内容。</w:t>
            </w:r>
          </w:p>
          <w:p>
            <w:pPr>
              <w:pStyle w:val="null3"/>
            </w:pPr>
            <w:r>
              <w:rPr>
                <w:rFonts w:ascii="仿宋_GB2312" w:hAnsi="仿宋_GB2312" w:cs="仿宋_GB2312" w:eastAsia="仿宋_GB2312"/>
                <w:sz w:val="20"/>
                <w:color w:val="000000"/>
              </w:rPr>
              <w:t>9.知识库维护服务</w:t>
            </w:r>
          </w:p>
          <w:p>
            <w:pPr>
              <w:pStyle w:val="null3"/>
            </w:pPr>
            <w:r>
              <w:rPr>
                <w:rFonts w:ascii="仿宋_GB2312" w:hAnsi="仿宋_GB2312" w:cs="仿宋_GB2312" w:eastAsia="仿宋_GB2312"/>
                <w:sz w:val="20"/>
                <w:color w:val="000000"/>
              </w:rPr>
              <w:t>为采购人提供知识库维护服务，知识库内容应遵循</w:t>
            </w:r>
            <w:r>
              <w:rPr>
                <w:rFonts w:ascii="仿宋_GB2312" w:hAnsi="仿宋_GB2312" w:cs="仿宋_GB2312" w:eastAsia="仿宋_GB2312"/>
                <w:sz w:val="20"/>
                <w:color w:val="000000"/>
              </w:rPr>
              <w:t>“全面实用、便捷易懂、分类明确”的原则，涵盖该项目系统的所有业务功能相关知识及常见问题和解答，减少重复沟通，提高工作效率，确保新用户快速上手，老用户复用经验。</w:t>
            </w:r>
          </w:p>
          <w:p>
            <w:pPr>
              <w:pStyle w:val="null3"/>
            </w:pPr>
            <w:r>
              <w:rPr>
                <w:rFonts w:ascii="仿宋_GB2312" w:hAnsi="仿宋_GB2312" w:cs="仿宋_GB2312" w:eastAsia="仿宋_GB2312"/>
                <w:sz w:val="20"/>
                <w:color w:val="000000"/>
              </w:rPr>
              <w:t>运维服务商应建立常态化更新机制，在系统升级、功能优化、问题处理后，及时同步更新知识库对应内容，确保信息准确性与时效性。采购人提出知识库内容补充、修改建议时，运维服务商核实后及时完善相关内容。项目运维服务周期内，运维服务商每半年向采购人提交知识库更新报告，说明新增内容及修改记录。</w:t>
            </w:r>
          </w:p>
          <w:p>
            <w:pPr>
              <w:pStyle w:val="null3"/>
            </w:pPr>
            <w:r>
              <w:rPr>
                <w:rFonts w:ascii="仿宋_GB2312" w:hAnsi="仿宋_GB2312" w:cs="仿宋_GB2312" w:eastAsia="仿宋_GB2312"/>
                <w:sz w:val="20"/>
                <w:color w:val="000000"/>
              </w:rPr>
              <w:t>10.其他运维事项</w:t>
            </w:r>
          </w:p>
          <w:p>
            <w:pPr>
              <w:pStyle w:val="null3"/>
            </w:pPr>
            <w:r>
              <w:rPr>
                <w:rFonts w:ascii="仿宋_GB2312" w:hAnsi="仿宋_GB2312" w:cs="仿宋_GB2312" w:eastAsia="仿宋_GB2312"/>
                <w:sz w:val="20"/>
                <w:color w:val="000000"/>
              </w:rPr>
              <w:t>完成采购人要求的其他运维保障工作事项。</w:t>
            </w:r>
          </w:p>
          <w:p>
            <w:pPr>
              <w:pStyle w:val="null3"/>
            </w:pPr>
            <w:r>
              <w:rPr>
                <w:rFonts w:ascii="仿宋_GB2312" w:hAnsi="仿宋_GB2312" w:cs="仿宋_GB2312" w:eastAsia="仿宋_GB2312"/>
                <w:sz w:val="20"/>
                <w:color w:val="000000"/>
              </w:rPr>
              <w:t>（四）服务要求</w:t>
            </w:r>
          </w:p>
          <w:p>
            <w:pPr>
              <w:pStyle w:val="null3"/>
            </w:pPr>
            <w:r>
              <w:rPr>
                <w:rFonts w:ascii="仿宋_GB2312" w:hAnsi="仿宋_GB2312" w:cs="仿宋_GB2312" w:eastAsia="仿宋_GB2312"/>
                <w:sz w:val="20"/>
                <w:color w:val="000000"/>
              </w:rPr>
              <w:t>1.服务形式</w:t>
            </w:r>
          </w:p>
          <w:p>
            <w:pPr>
              <w:pStyle w:val="null3"/>
            </w:pPr>
            <w:r>
              <w:rPr>
                <w:rFonts w:ascii="仿宋_GB2312" w:hAnsi="仿宋_GB2312" w:cs="仿宋_GB2312" w:eastAsia="仿宋_GB2312"/>
                <w:sz w:val="20"/>
                <w:color w:val="000000"/>
              </w:rPr>
              <w:t>通过派驻运维服务人员在陕西省财政厅指定地点提供运维服务，并负责为运维服务人员提供满足国产化要求的电脑等设备。</w:t>
            </w:r>
          </w:p>
          <w:p>
            <w:pPr>
              <w:pStyle w:val="null3"/>
            </w:pPr>
            <w:r>
              <w:rPr>
                <w:rFonts w:ascii="仿宋_GB2312" w:hAnsi="仿宋_GB2312" w:cs="仿宋_GB2312" w:eastAsia="仿宋_GB2312"/>
                <w:sz w:val="20"/>
                <w:color w:val="000000"/>
              </w:rPr>
              <w:t>2.期限要求:1年</w:t>
            </w:r>
          </w:p>
          <w:p>
            <w:pPr>
              <w:pStyle w:val="null3"/>
            </w:pPr>
            <w:r>
              <w:rPr>
                <w:rFonts w:ascii="仿宋_GB2312" w:hAnsi="仿宋_GB2312" w:cs="仿宋_GB2312" w:eastAsia="仿宋_GB2312"/>
                <w:sz w:val="20"/>
                <w:color w:val="000000"/>
              </w:rPr>
              <w:t>3.运维服务时间</w:t>
            </w:r>
          </w:p>
          <w:p>
            <w:pPr>
              <w:pStyle w:val="null3"/>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5*8小时工作日驻场运维服务和96702热线电话技术支持服务，7*24小时电话及工作群远程技术服务。</w:t>
            </w:r>
          </w:p>
          <w:p>
            <w:pPr>
              <w:pStyle w:val="null3"/>
            </w:pPr>
            <w:r>
              <w:rPr>
                <w:rFonts w:ascii="仿宋_GB2312" w:hAnsi="仿宋_GB2312" w:cs="仿宋_GB2312" w:eastAsia="仿宋_GB2312"/>
                <w:sz w:val="20"/>
                <w:color w:val="000000"/>
              </w:rPr>
              <w:t>4.运维服务响应时限</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1）运维服务人员接到96702热线服务用户服务请求后，工作日30分钟内做出实质性响应，非工作日2小时内做出实质性响应。</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2）运维服务人员接到采购人运维工单服务，12小时之内做出实质性响应，原则上按照工单派发顺序1至5个工作日完成任务。</w:t>
            </w:r>
          </w:p>
          <w:p>
            <w:pPr>
              <w:pStyle w:val="null3"/>
            </w:pPr>
            <w:r>
              <w:rPr>
                <w:rFonts w:ascii="仿宋_GB2312" w:hAnsi="仿宋_GB2312" w:cs="仿宋_GB2312" w:eastAsia="仿宋_GB2312"/>
                <w:sz w:val="20"/>
                <w:color w:val="000000"/>
              </w:rPr>
              <w:t>5.故障响应时限</w:t>
            </w:r>
          </w:p>
          <w:p>
            <w:pPr>
              <w:pStyle w:val="null3"/>
            </w:pPr>
            <w:r>
              <w:rPr>
                <w:rFonts w:ascii="仿宋_GB2312" w:hAnsi="仿宋_GB2312" w:cs="仿宋_GB2312" w:eastAsia="仿宋_GB2312"/>
                <w:sz w:val="20"/>
                <w:color w:val="000000"/>
              </w:rPr>
              <w:t>出现影响系统正常运行的故障时，运维服务人员</w:t>
            </w:r>
            <w:r>
              <w:rPr>
                <w:rFonts w:ascii="仿宋_GB2312" w:hAnsi="仿宋_GB2312" w:cs="仿宋_GB2312" w:eastAsia="仿宋_GB2312"/>
                <w:sz w:val="20"/>
                <w:color w:val="000000"/>
              </w:rPr>
              <w:t>60分钟内做出电话响应，如电话或远程技术服务无法解决时，应委派具有故障解决能力的技术人员24小时内到达现场处理，原则上8小时内解决问题。</w:t>
            </w:r>
          </w:p>
          <w:p>
            <w:pPr>
              <w:pStyle w:val="null3"/>
            </w:pPr>
            <w:r>
              <w:rPr>
                <w:rFonts w:ascii="仿宋_GB2312" w:hAnsi="仿宋_GB2312" w:cs="仿宋_GB2312" w:eastAsia="仿宋_GB2312"/>
                <w:sz w:val="20"/>
                <w:color w:val="000000"/>
              </w:rPr>
              <w:t>6.网络安全及人员保密要求</w:t>
            </w:r>
          </w:p>
          <w:p>
            <w:pPr>
              <w:pStyle w:val="null3"/>
            </w:pPr>
            <w:r>
              <w:rPr>
                <w:rFonts w:ascii="仿宋_GB2312" w:hAnsi="仿宋_GB2312" w:cs="仿宋_GB2312" w:eastAsia="仿宋_GB2312"/>
                <w:sz w:val="20"/>
                <w:color w:val="000000"/>
              </w:rPr>
              <w:t>运维服务人员应保障该系统稳定安全运行，确保该系统数据的安全性和可靠性，杜绝系统的数据泄露、篡改或丢失，数据不得用于运维工作之外的其他用途，并作好网络安全防范工作。运维期间，运维服务人员应对系统相关信息及数据进行保密，不得公开，或向第三方提供。</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7.运维服务人员要求</w:t>
            </w:r>
          </w:p>
          <w:p>
            <w:pPr>
              <w:pStyle w:val="null3"/>
            </w:pPr>
            <w:r>
              <w:rPr>
                <w:rFonts w:ascii="仿宋_GB2312" w:hAnsi="仿宋_GB2312" w:cs="仿宋_GB2312" w:eastAsia="仿宋_GB2312"/>
                <w:sz w:val="20"/>
                <w:color w:val="000000"/>
              </w:rPr>
              <w:t>（1）需要选派具有同类运维项目经验的驻场运维工程师4名及远程运维工程师不少于3名组成运维服务团队，保障运维工作安全、稳定进行。且需相关开发人员提供技术支持，满足项目优化、升级的需求。运维服务商应确保运维服务团队人员稳定，不得随意变更运维服务人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2）运维服务商应组织新进人员开展岗前培训，使其具备采购人所要求的运维技术能力，培训内容包括但不限于安全、保密相关制度，业务及技术技能，运维相关制度等。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3）运维服务商应强化安全及保密管理，每个季度组织运维团队所有人员开展安全保密教育及业务技能培训。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陕西省财政厅指定地点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本项目首期款以甲方财政资金实际到位且相关运维（服务）准备工作完成后，监理单位签发开工令，乙方书面提出支付申请函及与拟支付金额等额的符合甲方财务管理要求的相应发票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本项目运维服务六个月后，甲方对项目进行阶段评价，乙方书面提出支付申请函及与拟支付金额等额的符合甲方财务管理要求的相应发票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本项目服务期满，且经甲方评价后 30 个工作日内，依据甲方服务评价结果或结算审计结果（如有）确认的金额，乙方书面提出支付申请函及与拟支付金额等额的符合甲方财务管理要求的相应发票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采购标的对应的中小企业划分标准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3.4.2本项目非专门面向中小企业采购。 3.4.3需要落实的政府采购政策： （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 （4）《财政部发展改革委生态环境部市场监管总局关于调整优化节能产品、环境标志产品政府采购执行机制的通知》（财库〔2019〕9号）；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 2、财务状况报告：供应商2024年或2025年经审计的财务报告（事业法人可提供部门决算报告）或基本开户银行出具的资信证明或专业担保机构出具的投标担保函，供应商需在项目电子化交易系统中按要求上传相应证明文件 3、书面声明：参加政府采购活动前3年内在经营活动中没有重大违法记录的书面声明；其中：重大违法记录是指供应商因违法经营受到刑事处罚或者责令停产停业、吊销许可证或者执照、较大数额罚款等行政处罚： 4、具有履行合同所必需的设备和专业技术能力的承诺函：具有履行合同所必需的设备和专业技术能力书面声明函，供应商需在项目电子化交易系统中按要求上传相应证明文件并进行电子签章； 5、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 6、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站(www.creditchina.gov.cn)、中国政府采购网(www.ccgp.gov.cn)查询相关主体信用记录网页截图保存； 7、法定代表人授权书（附法定代表人、被授权人身份证复印件）及被授权人身份证原件（法定代表人直接参加招标，须提供法定代表人身份证明及身份证原件）；非法人单位参照执行。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供应商应提交的相关资格证明材料.docx 法定代表人身份证明书及法定代表人授权书.docx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法定代表人身份证明书及法定代表人授权书.docx 报价表 响应文件封面 供应商应提交的相关资格证明材料.docx 残疾人福利性单位声明函 服务方案 标的清单 其他资料.docx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参数响应</w:t>
            </w:r>
          </w:p>
        </w:tc>
        <w:tc>
          <w:tcPr>
            <w:tcW w:type="dxa" w:w="3322"/>
          </w:tcPr>
          <w:p>
            <w:pPr>
              <w:pStyle w:val="null3"/>
            </w:pPr>
            <w:r>
              <w:rPr>
                <w:rFonts w:ascii="仿宋_GB2312" w:hAnsi="仿宋_GB2312" w:cs="仿宋_GB2312" w:eastAsia="仿宋_GB2312"/>
              </w:rPr>
              <w:t>带“★”的参数需求为实质性要求，供应商必须响应并满足。</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日常技术支持服务方案</w:t>
            </w:r>
          </w:p>
        </w:tc>
        <w:tc>
          <w:tcPr>
            <w:tcW w:type="dxa" w:w="2492"/>
          </w:tcPr>
          <w:p>
            <w:pPr>
              <w:pStyle w:val="null3"/>
            </w:pPr>
            <w:r>
              <w:rPr>
                <w:rFonts w:ascii="仿宋_GB2312" w:hAnsi="仿宋_GB2312" w:cs="仿宋_GB2312" w:eastAsia="仿宋_GB2312"/>
              </w:rPr>
              <w:t>供应商针对本项目提供日常技术支持服务方案。 评审标准： 1.对日常技术支持服务 理解深刻，方案完整覆盖所有服务内容，逻辑清晰、针对性极强，处理时限完全符合采购要求，应急处理流程完善，完全满足采购人的要求，计10分； 2.对日常技术支持服务理解较好，方案覆盖全部服务内容，逻辑清晰、针对性较好，处理时限较符合采购要求，应急处理流程较完善，满足采购人的要求，计8分； 3.对日常技术支持服务理解一般，方案基本覆盖全部服务内容，针对性一般，基本满足采购要求，服务流程、响应机制较完善，计6分； 4.对日常技术支持服务理解不足，方案缺失主要服务内容，针对差，未按要求制定，流程缺失、响应时限不达标，计4分； 5.未提供或内容无关不计分。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软件系统运行维护服务方案</w:t>
            </w:r>
          </w:p>
        </w:tc>
        <w:tc>
          <w:tcPr>
            <w:tcW w:type="dxa" w:w="2492"/>
          </w:tcPr>
          <w:p>
            <w:pPr>
              <w:pStyle w:val="null3"/>
            </w:pPr>
            <w:r>
              <w:rPr>
                <w:rFonts w:ascii="仿宋_GB2312" w:hAnsi="仿宋_GB2312" w:cs="仿宋_GB2312" w:eastAsia="仿宋_GB2312"/>
              </w:rPr>
              <w:t>供应商针对本项目提供软件系统运行维护服务方案。 评审标准： 1.系统检查、故障排查、Bug修复、系统优化、数据维护方案完善，应急处理机制健全，计8分； 2.系统检查、故障排查、Bug修复、系统优化、数据维护方案基本可行，能满足日常运维及故障处理需求，计6分； 3.系统检查、故障排查、Bug修复、系统优化、数据维护方案笼统，无具体运维及故障处理措施，计2分； 4.未提供或内容无关不计分。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业务数据统计及数据维护运维服务方案</w:t>
            </w:r>
          </w:p>
        </w:tc>
        <w:tc>
          <w:tcPr>
            <w:tcW w:type="dxa" w:w="2492"/>
          </w:tcPr>
          <w:p>
            <w:pPr>
              <w:pStyle w:val="null3"/>
            </w:pPr>
            <w:r>
              <w:rPr>
                <w:rFonts w:ascii="仿宋_GB2312" w:hAnsi="仿宋_GB2312" w:cs="仿宋_GB2312" w:eastAsia="仿宋_GB2312"/>
              </w:rPr>
              <w:t>供应商针对本项目提供业务数据统计及数据维护运维服务方案。 ① 方案完整覆盖数据统计、数据维护全部采购需求，明确服务目标、范围、流程、质量标准，完全响应采购要求，计5分； ② 方案基本完整，核心内容无缺失，计3分； ③ 方案内容缺失较多，未完全响应需求，计1分； ④ 未提供或内容无关不计分。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定期巡检服务方案</w:t>
            </w:r>
          </w:p>
        </w:tc>
        <w:tc>
          <w:tcPr>
            <w:tcW w:type="dxa" w:w="2492"/>
          </w:tcPr>
          <w:p>
            <w:pPr>
              <w:pStyle w:val="null3"/>
            </w:pPr>
            <w:r>
              <w:rPr>
                <w:rFonts w:ascii="仿宋_GB2312" w:hAnsi="仿宋_GB2312" w:cs="仿宋_GB2312" w:eastAsia="仿宋_GB2312"/>
              </w:rPr>
              <w:t>供应商针对本项目提供定期巡检服务方案。 评审标准： 1. 巡检内容全面性（3分） ① 完整覆盖网络、微服务、系统进程、性能指标等全部巡检内容，贴合系统运行实际，无遗漏，计3分； ② 巡检内容较全面，覆盖巡检项，计2分； ③ 巡检内容缺失较多，计1分； ④ 未提供或内容无关不计分。 2. 巡检频次与时限（2分） ① 严格响应“每周巡检、每月汇总报告”要求，明确每日、每周、每月巡检流程，记录及报告编制规范，计2分； ② 满足巡检频次要求，流程较清晰，计1分； ③ 未完全满足频次要求，计0.5分； ④ 未响应巡检时限要求，不计分。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故障处理服务方案</w:t>
            </w:r>
          </w:p>
        </w:tc>
        <w:tc>
          <w:tcPr>
            <w:tcW w:type="dxa" w:w="2492"/>
          </w:tcPr>
          <w:p>
            <w:pPr>
              <w:pStyle w:val="null3"/>
            </w:pPr>
            <w:r>
              <w:rPr>
                <w:rFonts w:ascii="仿宋_GB2312" w:hAnsi="仿宋_GB2312" w:cs="仿宋_GB2312" w:eastAsia="仿宋_GB2312"/>
              </w:rPr>
              <w:t>供应商针对本项目提供故障处理服务方案。 评审标准： 1. 应急机制完整性（2分） ① 建立完善系统故障应急处理机制，明确故障分级、处置流程，完全响应采购要求，计2分； ②有基础应急机制，计1分； ③ 机制笼统，无实操性，计0.5分； ④ 未建立应急机制，不计分。 2. 响应与处置时限（1分） ① 完全响应故障电话响应、现场处置、8小时解决故障等全部时限要求，制定分级处置细则，计1分； ② 满足故障处置时限要求，细则较清晰，计0.5分； ③ 未响应故障处置时限，不计分。 3. 故障闭环管理（2分） ① 具备故障接收、排查、修复、验证、反馈、复盘全流程管理，故障台账完整，计2分； ② 有基础故障处理流程，计1分； ③ 流程不完整，无台账管理，计0.5分； ④ 未提交相关方案，不计分。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安全保障服务方案</w:t>
            </w:r>
          </w:p>
        </w:tc>
        <w:tc>
          <w:tcPr>
            <w:tcW w:type="dxa" w:w="2492"/>
          </w:tcPr>
          <w:p>
            <w:pPr>
              <w:pStyle w:val="null3"/>
            </w:pPr>
            <w:r>
              <w:rPr>
                <w:rFonts w:ascii="仿宋_GB2312" w:hAnsi="仿宋_GB2312" w:cs="仿宋_GB2312" w:eastAsia="仿宋_GB2312"/>
              </w:rPr>
              <w:t>1. 服务内容全覆盖（2分） ① 完整涵盖定期巡检、故障处理、安全基线检查、安全加固、漏洞处理、应急演练全部安全服务内容，贴合财政系统安全要求，计2分； ② 覆盖安全服务内容，计1分； ③ 内容缺失较多，计0.5分； ④ 未响应安全服务需求，不计分。 2. 安全处置专业性（2分） ① 制定详细安全漏洞处置、应急响应、安全加固流程，每半年应急演练、每月安全检查措施具体，计2分； ② 安全处置流程较清晰，计1分； ③ 无具体处置措施，计0.5分； ④ 未明确相关内容，不计分。 3. 安全保障措施（2分） ① 具备系统运行安全、数据安全全流程保障措施，符合网络安全管理规定，计2分； ② 有基础安全保障措施，计1分； ③ 措施笼统，无针对性，计0.5分； ④ 未提及保障措施，不计分。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系统更新服务方案</w:t>
            </w:r>
          </w:p>
        </w:tc>
        <w:tc>
          <w:tcPr>
            <w:tcW w:type="dxa" w:w="2492"/>
          </w:tcPr>
          <w:p>
            <w:pPr>
              <w:pStyle w:val="null3"/>
            </w:pPr>
            <w:r>
              <w:rPr>
                <w:rFonts w:ascii="仿宋_GB2312" w:hAnsi="仿宋_GB2312" w:cs="仿宋_GB2312" w:eastAsia="仿宋_GB2312"/>
              </w:rPr>
              <w:t>1. Bug修复响应性（3分） ① 全覆盖采购文件所列各类Bug、漏洞修复范围，明确修复时限、流程、验证标准，计3分； ② 覆盖Bug修复内容，计2分； ③ 修复范围不完整，计1分； ④ 未响应Bug修复要求，不计分。 2. 功能优化可行性（3分） ① 制定系统代码、数据库、配置参数、功能流程优化细则，贴合用户使用需求，计3分； ② 有基础优化措施，计2分； ③ 无具体优化细则，计1分； ④ 未提及功能优化内容，不计分。 3. 更新管控机制（2分） ① 建立系统更新测试、上线、回溯管控机制，避免更新影响业务运行，计2分； ② 有基础更新管控措施，计1分； ③ 无更新管控机制，不计分。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系统培训服务方案</w:t>
            </w:r>
          </w:p>
        </w:tc>
        <w:tc>
          <w:tcPr>
            <w:tcW w:type="dxa" w:w="2492"/>
          </w:tcPr>
          <w:p>
            <w:pPr>
              <w:pStyle w:val="null3"/>
            </w:pPr>
            <w:r>
              <w:rPr>
                <w:rFonts w:ascii="仿宋_GB2312" w:hAnsi="仿宋_GB2312" w:cs="仿宋_GB2312" w:eastAsia="仿宋_GB2312"/>
              </w:rPr>
              <w:t>1. 培训内容针对性（2分） ① 培训内容完全匹配六大模块操作、常见问题处理、系统升级操作，贴合预算单位、财政部门使用需求，计2分； ② 培训内容较全面，计1分； ③ 内容笼统，无针对性，计0.5分； ④ 未明确培训内容，不计分。 2. 培训合规性（2分） ① 根据要求满足线上/线下集中培训，提供操作指南及常见问答解答，计2分； ② 基本满足培训要求及资料要求，计1分； ③ 未完全满足采购培训要求，计0.5分； ④ 未响应培训要求，不计分。 3. 培训保障（2分） ① 具备专业培训师资、培训计划、效果评估、售后答疑措施，计2分； ② 有基础培训保障，计1分； ③ 无培训保障措施，不计分。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保密保障方案</w:t>
            </w:r>
          </w:p>
        </w:tc>
        <w:tc>
          <w:tcPr>
            <w:tcW w:type="dxa" w:w="2492"/>
          </w:tcPr>
          <w:p>
            <w:pPr>
              <w:pStyle w:val="null3"/>
            </w:pPr>
            <w:r>
              <w:rPr>
                <w:rFonts w:ascii="仿宋_GB2312" w:hAnsi="仿宋_GB2312" w:cs="仿宋_GB2312" w:eastAsia="仿宋_GB2312"/>
              </w:rPr>
              <w:t>1. 保密范围完整性（2分） ① 完整覆盖系统数据、业务信息、运维资料、财政涉密数据等全部保密范畴，契合采购保密要求，计2分； ② 保密范围较全面，计1分； ③ 保密范围缺失，计0.5分； ④ 未明确保密范围，不计分。 2. 人员保密管理（2分） ① 完全响应人员岗前培训、每季度安全保密教育、保密协议、离岗追责、账号管理等全部要求，管理措施具体，计2分； ② 满足人员保密管理要求，计1分； ③ 未完全响应保密培训、教育要求，计0.5分； ④ 未提交人员保密管理内容，不计分。 3. 技术与管理保密措施（2分） ① 制定数据加密、操作留痕、设备管控、信息防泄露全流程技术及管理措施，杜绝数据泄露、篡改、丢失，计2分； ② 有基础保密管控措施，计1分； ③ 措施笼统，无实操性，计0.5分； ④ 未响应采购保密强制性要求，不计分。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 建议针对性（3分） ① 针对本项目系统运维、服务优化、效率提升、安全管控、业务适配提出专属合理化建议，贴合财政预算一体化系统实际，计3分； ② 提出较有针对性的建议，计2分； ③ 建议通用、无针对性，计1分； ④ 未提合理化建议，不计分。 2. 建议可行性（3分） ① 建议具备极强可操作性，可落地实施，能有效提升运维服务质量、降低运维风险，计3分； ② 建议具备一定可行性，计2分； ③ 建议不可落地，无实际价值，计1分； ④ 无相关建议，不计分。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（1）团队整体配置（6分） 1.完全响应采购要求，驻场运维工程师≥4名、远程运维工程师≥3名，配置齐全，计6分； 2.驻场+远程人员数量满足要求，但配置略有不足，计3分；（提供人员名单及本单位近一年内任意一个月社保证明。） （2）团队人员经验（4分） 1.驻场工程师：每1人具有同类运维经验，计1分，最多得4分；（需提供包括但不限于合同内人员名单等相关证明材料。）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供应商近三年（2023年1月1日至今）承接过类似项目业绩：每提供一个业绩合同或中标/成交通知书得1分，满分5分。 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价格分统一采用低价优先法计算，即满足竞争性磋商文件要求且最终报价最低的为评标基准价，其价格分为满分。其他供应商的价格分统一按照下列公式计算： 报价得分=（磋商基准价/最后磋商报价）×20 计算分数时四舍五入取小数点后两位。 注：其他通过资格审查、符合性审查供应商的报价，有可能影响服务质量或者不能诚信履约的，应当要求其在投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详见附件：法定代表人身份证明书及法定代表人授权书.docx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详见附件：最新合同范本.docx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