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版本号：SXZH-2026-07720260602001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短视频推送</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SXZH-2026-077</w:t>
      </w:r>
      <w:r>
        <w:br/>
      </w:r>
      <w:r>
        <w:br/>
      </w:r>
      <w:r>
        <w:br/>
      </w:r>
    </w:p>
    <w:p>
      <w:pPr>
        <w:pStyle w:val="null3"/>
        <w:jc w:val="center"/>
        <w:outlineLvl w:val="2"/>
      </w:pPr>
      <w:r>
        <w:rPr>
          <w:rFonts w:ascii="仿宋_GB2312" w:hAnsi="仿宋_GB2312" w:cs="仿宋_GB2312" w:eastAsia="仿宋_GB2312"/>
          <w:sz w:val="28"/>
          <w:b/>
        </w:rPr>
        <w:t>西安市生活垃圾分类服务中心</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西安市生活垃圾分类服务中心</w:t>
      </w:r>
      <w:r>
        <w:rPr>
          <w:rFonts w:ascii="仿宋_GB2312" w:hAnsi="仿宋_GB2312" w:cs="仿宋_GB2312" w:eastAsia="仿宋_GB2312"/>
        </w:rPr>
        <w:t>委托，拟对</w:t>
      </w:r>
      <w:r>
        <w:rPr>
          <w:rFonts w:ascii="仿宋_GB2312" w:hAnsi="仿宋_GB2312" w:cs="仿宋_GB2312" w:eastAsia="仿宋_GB2312"/>
        </w:rPr>
        <w:t>短视频推送</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SXZH-2026-077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短视频推送</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短视频制作及推送。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采购包1（短视频推送）：属于专门面向中小企业采购。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西安市生活垃圾分类服务中心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西安市莲湖区太白北路320号华弘大厦4楼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029-89381575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17392900503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招标代理服务收费管理暂行办法》（计价格【2002】1980号）及《关于降低部分建设项目收费标准规范收费行为等有关问题的通知》（发改价格[2011]534号）规定按标准下浮5%收取。 2、采购代理服务费可以采取现金、支票、银行汇票、电汇、网银等方式缴纳。 3、招标代理服务费缴纳信息： 银行户名：陕西筑辉工程咨询有限公司 开户银行：北京银行股份有限公司西安经济技术开发区支行 账 号：20000041418600030109571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西安市生活垃圾分类服务中心</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西安市生活垃圾分类服务中心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西安市生活垃圾分类服务中心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联系人：孙誉</w:t>
      </w:r>
    </w:p>
    <w:p>
      <w:pPr>
        <w:pStyle w:val="null3"/>
      </w:pPr>
      <w:r>
        <w:rPr>
          <w:rFonts w:ascii="仿宋_GB2312" w:hAnsi="仿宋_GB2312" w:cs="仿宋_GB2312" w:eastAsia="仿宋_GB2312"/>
        </w:rPr>
        <w:t>联系电话：17392900503</w:t>
      </w:r>
    </w:p>
    <w:p>
      <w:pPr>
        <w:pStyle w:val="null3"/>
      </w:pPr>
      <w:r>
        <w:rPr>
          <w:rFonts w:ascii="仿宋_GB2312" w:hAnsi="仿宋_GB2312" w:cs="仿宋_GB2312" w:eastAsia="仿宋_GB2312"/>
        </w:rPr>
        <w:t>地址：西安市雁塔区南二环东段22号（凯森盛世1号）B座2层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短视频制作及推送。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短视频推送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标的名称：短视频推送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制作</w:t>
            </w:r>
            <w:r>
              <w:rPr>
                <w:rFonts w:ascii="仿宋_GB2312" w:hAnsi="仿宋_GB2312" w:cs="仿宋_GB2312" w:eastAsia="仿宋_GB2312"/>
              </w:rPr>
              <w:t>3</w:t>
            </w:r>
            <w:r>
              <w:rPr>
                <w:rFonts w:ascii="仿宋_GB2312" w:hAnsi="仿宋_GB2312" w:cs="仿宋_GB2312" w:eastAsia="仿宋_GB2312"/>
              </w:rPr>
              <w:t>条垃圾分类宣传短视频，每条视频时长</w:t>
            </w:r>
            <w:r>
              <w:rPr>
                <w:rFonts w:ascii="仿宋_GB2312" w:hAnsi="仿宋_GB2312" w:cs="仿宋_GB2312" w:eastAsia="仿宋_GB2312"/>
              </w:rPr>
              <w:t>15</w:t>
            </w:r>
            <w:r>
              <w:rPr>
                <w:rFonts w:ascii="仿宋_GB2312" w:hAnsi="仿宋_GB2312" w:cs="仿宋_GB2312" w:eastAsia="仿宋_GB2312"/>
              </w:rPr>
              <w:t>秒</w:t>
            </w:r>
            <w:r>
              <w:rPr>
                <w:rFonts w:ascii="仿宋_GB2312" w:hAnsi="仿宋_GB2312" w:cs="仿宋_GB2312" w:eastAsia="仿宋_GB2312"/>
              </w:rPr>
              <w:t>左右，通过短视频平台（如</w:t>
            </w:r>
            <w:r>
              <w:rPr>
                <w:rFonts w:ascii="仿宋_GB2312" w:hAnsi="仿宋_GB2312" w:cs="仿宋_GB2312" w:eastAsia="仿宋_GB2312"/>
              </w:rPr>
              <w:t>视频号、抖音号、微博号</w:t>
            </w:r>
            <w:r>
              <w:rPr>
                <w:rFonts w:ascii="仿宋_GB2312" w:hAnsi="仿宋_GB2312" w:cs="仿宋_GB2312" w:eastAsia="仿宋_GB2312"/>
              </w:rPr>
              <w:t>等）推送垃圾分类相关视频，并拟定相关话题。</w:t>
            </w:r>
          </w:p>
          <w:p>
            <w:pPr>
              <w:pStyle w:val="null3"/>
            </w:pPr>
            <w:r>
              <w:rPr>
                <w:rFonts w:ascii="仿宋_GB2312" w:hAnsi="仿宋_GB2312" w:cs="仿宋_GB2312" w:eastAsia="仿宋_GB2312"/>
              </w:rPr>
              <w:t>2.</w:t>
            </w:r>
            <w:r>
              <w:rPr>
                <w:rFonts w:ascii="仿宋_GB2312" w:hAnsi="仿宋_GB2312" w:cs="仿宋_GB2312" w:eastAsia="仿宋_GB2312"/>
              </w:rPr>
              <w:t>设计垃圾分类主题开屏页面，通过新闻客户端投放垃圾分类开屏广告</w:t>
            </w:r>
            <w:r>
              <w:rPr>
                <w:rFonts w:ascii="仿宋_GB2312" w:hAnsi="仿宋_GB2312" w:cs="仿宋_GB2312" w:eastAsia="仿宋_GB2312"/>
              </w:rPr>
              <w:t>，提供主流新闻客户端不低于</w:t>
            </w:r>
            <w:r>
              <w:rPr>
                <w:rFonts w:ascii="仿宋_GB2312" w:hAnsi="仿宋_GB2312" w:cs="仿宋_GB2312" w:eastAsia="仿宋_GB2312"/>
              </w:rPr>
              <w:t>2</w:t>
            </w:r>
            <w:r>
              <w:rPr>
                <w:rFonts w:ascii="仿宋_GB2312" w:hAnsi="仿宋_GB2312" w:cs="仿宋_GB2312" w:eastAsia="仿宋_GB2312"/>
              </w:rPr>
              <w:t>个。</w:t>
            </w:r>
          </w:p>
          <w:p>
            <w:pPr>
              <w:pStyle w:val="null3"/>
            </w:pPr>
            <w:r>
              <w:rPr>
                <w:rFonts w:ascii="仿宋_GB2312" w:hAnsi="仿宋_GB2312" w:cs="仿宋_GB2312" w:eastAsia="仿宋_GB2312"/>
              </w:rPr>
              <w:t>3.</w:t>
            </w:r>
            <w:r>
              <w:rPr>
                <w:rFonts w:ascii="仿宋_GB2312" w:hAnsi="仿宋_GB2312" w:cs="仿宋_GB2312" w:eastAsia="仿宋_GB2312"/>
              </w:rPr>
              <w:t>投放周期</w:t>
            </w:r>
            <w:r>
              <w:rPr>
                <w:rFonts w:ascii="仿宋_GB2312" w:hAnsi="仿宋_GB2312" w:cs="仿宋_GB2312" w:eastAsia="仿宋_GB2312"/>
              </w:rPr>
              <w:t>3</w:t>
            </w:r>
            <w:r>
              <w:rPr>
                <w:rFonts w:ascii="仿宋_GB2312" w:hAnsi="仿宋_GB2312" w:cs="仿宋_GB2312" w:eastAsia="仿宋_GB2312"/>
              </w:rPr>
              <w:t>个月。</w:t>
            </w:r>
          </w:p>
          <w:p>
            <w:pPr>
              <w:pStyle w:val="null3"/>
            </w:pPr>
            <w:r>
              <w:rPr>
                <w:rFonts w:ascii="仿宋_GB2312" w:hAnsi="仿宋_GB2312" w:cs="仿宋_GB2312" w:eastAsia="仿宋_GB2312"/>
              </w:rPr>
              <w:t>4.</w:t>
            </w:r>
            <w:r>
              <w:rPr>
                <w:rFonts w:ascii="仿宋_GB2312" w:hAnsi="仿宋_GB2312" w:cs="仿宋_GB2312" w:eastAsia="仿宋_GB2312"/>
              </w:rPr>
              <w:t>整体</w:t>
            </w:r>
            <w:r>
              <w:rPr>
                <w:rFonts w:ascii="仿宋_GB2312" w:hAnsi="仿宋_GB2312" w:cs="仿宋_GB2312" w:eastAsia="仿宋_GB2312"/>
              </w:rPr>
              <w:t>推送</w:t>
            </w:r>
            <w:r>
              <w:rPr>
                <w:rFonts w:ascii="仿宋_GB2312" w:hAnsi="仿宋_GB2312" w:cs="仿宋_GB2312" w:eastAsia="仿宋_GB2312"/>
              </w:rPr>
              <w:t>内容</w:t>
            </w:r>
            <w:r>
              <w:rPr>
                <w:rFonts w:ascii="仿宋_GB2312" w:hAnsi="仿宋_GB2312" w:cs="仿宋_GB2312" w:eastAsia="仿宋_GB2312"/>
              </w:rPr>
              <w:t>话题</w:t>
            </w:r>
            <w:r>
              <w:rPr>
                <w:rFonts w:ascii="仿宋_GB2312" w:hAnsi="仿宋_GB2312" w:cs="仿宋_GB2312" w:eastAsia="仿宋_GB2312"/>
              </w:rPr>
              <w:t>总曝光</w:t>
            </w:r>
            <w:r>
              <w:rPr>
                <w:rFonts w:ascii="仿宋_GB2312" w:hAnsi="仿宋_GB2312" w:cs="仿宋_GB2312" w:eastAsia="仿宋_GB2312"/>
              </w:rPr>
              <w:t>量</w:t>
            </w:r>
            <w:r>
              <w:rPr>
                <w:rFonts w:ascii="仿宋_GB2312" w:hAnsi="仿宋_GB2312" w:cs="仿宋_GB2312" w:eastAsia="仿宋_GB2312"/>
              </w:rPr>
              <w:t>5000</w:t>
            </w:r>
            <w:r>
              <w:rPr>
                <w:rFonts w:ascii="仿宋_GB2312" w:hAnsi="仿宋_GB2312" w:cs="仿宋_GB2312" w:eastAsia="仿宋_GB2312"/>
              </w:rPr>
              <w:t>万次</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熟悉垃圾分类行业业务知识，具有相近行业的工作经验。</w:t>
            </w:r>
          </w:p>
          <w:p>
            <w:pPr>
              <w:pStyle w:val="null3"/>
            </w:pPr>
            <w:r>
              <w:rPr>
                <w:rFonts w:ascii="仿宋_GB2312" w:hAnsi="仿宋_GB2312" w:cs="仿宋_GB2312" w:eastAsia="仿宋_GB2312"/>
              </w:rPr>
              <w:t>6.</w:t>
            </w:r>
            <w:r>
              <w:rPr>
                <w:rFonts w:ascii="仿宋_GB2312" w:hAnsi="仿宋_GB2312" w:cs="仿宋_GB2312" w:eastAsia="仿宋_GB2312"/>
              </w:rPr>
              <w:t>拥有专业专职创作团队及配套设备，可完成短视频策划、拍摄、制作、剪辑等全流程工作。</w:t>
            </w:r>
          </w:p>
          <w:p>
            <w:pPr>
              <w:pStyle w:val="null3"/>
            </w:pPr>
            <w:r>
              <w:rPr>
                <w:rFonts w:ascii="仿宋_GB2312" w:hAnsi="仿宋_GB2312" w:cs="仿宋_GB2312" w:eastAsia="仿宋_GB2312"/>
              </w:rPr>
              <w:t>7.</w:t>
            </w:r>
            <w:r>
              <w:rPr>
                <w:rFonts w:ascii="仿宋_GB2312" w:hAnsi="仿宋_GB2312" w:cs="仿宋_GB2312" w:eastAsia="仿宋_GB2312"/>
              </w:rPr>
              <w:t>熟悉视频平台投放规则与推广机制，具备广告投放、流量运营、数据监测及效果复盘能力。</w:t>
            </w:r>
          </w:p>
          <w:p>
            <w:pPr>
              <w:pStyle w:val="null3"/>
            </w:pPr>
            <w:r>
              <w:rPr>
                <w:rFonts w:ascii="仿宋_GB2312" w:hAnsi="仿宋_GB2312" w:cs="仿宋_GB2312" w:eastAsia="仿宋_GB2312"/>
              </w:rPr>
              <w:t>8.具备内容合规过审、把控及宣传素材优化迭代能力，确保投放内容合法合规、传播正向、贴合垃圾分类宣传主题。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所属行业：其他未列明行业，其划分标准为从业人员300人以下的为中小微型企业。其中，从业人员100人及以上的为中型企业；从业人员10人及以上的为小型企业；从业人员10人以下的为微型企业。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自合同签订之日起15日内完成项目所有内容设计制作，并提交成品内容供甲方审核，审核通过后7日内开始投放，项目应于2026年10月30日前执行完毕。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西安市生活垃圾分类服务中心甲方指定地点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进度款，服务期限完成且无其他异议后，达到付款条件起5个工作日内，支付合同总金额的50.0%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1、乙方应按合同约定时间完成各阶段合同义务，若发生延迟，乙方应向甲方支付合同总价款10%的违约金，且甲方有权单方解除本合同。但甲方书面同意延迟或因甲方原因导致延迟的，乙方不承担违约责任。 2、如甲方未能在本合同约定时间内支付款项，每延迟一天，甲方须向乙方承担迟延支付费用的0.5‰作为违约金，并将服务周期予以相应顺延。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2024或2025年度经审计的财务报告（包括“四表一注”，即资产负债表、利润表、现金流量表、所有者权益变动表（如有）及其附注，或者提供响应文件截止时间三个月内其基本账户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资格要求证明文件.docx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商务技术偏离表.docx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项目分析针对项目背景、可行性与必要性分析、目标分析等全面、准确、合理，计(7-10]分；分析内容基本符合项目要求，较为合理，计(4-7]分，分析空洞、无实质内容，计[1-4]分。未提供方案不得分。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整体服务方案详细、合理，能够清晰的贴合工作的要求和特点，计(10-15]分；服务方案较为清晰，基本贴近工作要求和特点，计(5-10]分；方案空洞、无实质性内容，计[1-5]分。未提供方案不得分。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提供详细完整的短视频设计制作方案及垃圾分类主题开屏页面设计方案，计(10-15]分；方案基本符合要求，计(5-10]分；方案内容简单或不全，计[1-5]分。未提供方案不得分。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工作与技术规范</w:t>
            </w:r>
          </w:p>
        </w:tc>
        <w:tc>
          <w:tcPr>
            <w:tcW w:type="dxa" w:w="2492"/>
          </w:tcPr>
          <w:p>
            <w:pPr>
              <w:pStyle w:val="null3"/>
            </w:pPr>
            <w:r>
              <w:rPr>
                <w:rFonts w:ascii="仿宋_GB2312" w:hAnsi="仿宋_GB2312" w:cs="仿宋_GB2312" w:eastAsia="仿宋_GB2312"/>
              </w:rPr>
              <w:t>针对本项目所依据的工作流程与技术规范标准全面、严格执行国家和行业有关政策、规范等，计(3-6]分；工作流程与技术规范不全面或不准确，计[1-3]分。未提供方案不得分。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针对本项目开展存在的重点、难点分析准确、充分，提出针对性强、科学合理的应对措施，计(4-8]分；对项目开展存在的重点、难点分析较薄弱、无实质性内容，计[1-4]分。未提供方案不得分。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管理与保障措施</w:t>
            </w:r>
          </w:p>
        </w:tc>
        <w:tc>
          <w:tcPr>
            <w:tcW w:type="dxa" w:w="2492"/>
          </w:tcPr>
          <w:p>
            <w:pPr>
              <w:pStyle w:val="null3"/>
            </w:pPr>
            <w:r>
              <w:rPr>
                <w:rFonts w:ascii="仿宋_GB2312" w:hAnsi="仿宋_GB2312" w:cs="仿宋_GB2312" w:eastAsia="仿宋_GB2312"/>
              </w:rPr>
              <w:t>针对本项目的管理与保障措施全面、可行，能够保障项目顺利实施，计(4-8]分；管理与保障措施较薄弱、无实质性内容，计[1-4]分。未提供方案不得分。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根据本项目采购需求提供拟投入人员配备（包括但不限于人员分工、岗位配备及职责、技术能力等）。 人员分工明确得当、岗位配备及职责阐述全面详细，且技术能力强的计（8-12分]；人员分工较明确、岗位配备及职责阐述较详细，技术能力较强的计（4-8分]；人员分工不明确、岗位配备及职责阐述不全面，技术能力弱的计[1-4分]；未提供，或明显存在不合理性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针对本项目具有详细科学的合理化建议。 合理化建议详细、针对性强得（3-6分]； 合理化建议内容简单不全得[1-3分]；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 日至今，以合同签订时间为准）的类似项目业绩，每提供一个得2分, 最高得10分。注：供应商响应文件中提供合同复印件加盖公章。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详见附件：资格要求证明文件.docx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