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4FE38">
      <w:pPr>
        <w:keepNext w:val="0"/>
        <w:keepLines w:val="0"/>
        <w:pageBreakBefore w:val="0"/>
        <w:widowControl w:val="0"/>
        <w:kinsoku/>
        <w:wordWrap/>
        <w:overflowPunct/>
        <w:topLinePunct w:val="0"/>
        <w:autoSpaceDE/>
        <w:autoSpaceDN/>
        <w:bidi w:val="0"/>
        <w:adjustRightInd/>
        <w:snapToGrid/>
        <w:spacing w:after="157" w:afterLines="50" w:line="640" w:lineRule="exact"/>
        <w:jc w:val="center"/>
        <w:textAlignment w:val="auto"/>
        <w:rPr>
          <w:rFonts w:hint="eastAsia" w:ascii="宋体" w:hAnsi="宋体" w:eastAsia="宋体" w:cs="宋体"/>
          <w:b/>
          <w:bCs/>
          <w:sz w:val="44"/>
          <w:szCs w:val="44"/>
          <w:lang w:eastAsia="zh-CN"/>
        </w:rPr>
      </w:pPr>
      <w:bookmarkStart w:id="0" w:name="_Toc21329"/>
      <w:r>
        <w:rPr>
          <w:rFonts w:hint="eastAsia" w:ascii="宋体" w:hAnsi="宋体" w:eastAsia="宋体" w:cs="宋体"/>
          <w:b/>
          <w:bCs/>
          <w:sz w:val="44"/>
          <w:szCs w:val="44"/>
          <w:lang w:eastAsia="zh-CN"/>
        </w:rPr>
        <w:t>渭南市2026年国家重点野生动物疫源疫病</w:t>
      </w:r>
      <w:bookmarkEnd w:id="0"/>
    </w:p>
    <w:p w14:paraId="5DA5A0BD">
      <w:pPr>
        <w:keepNext w:val="0"/>
        <w:keepLines w:val="0"/>
        <w:pageBreakBefore w:val="0"/>
        <w:widowControl w:val="0"/>
        <w:kinsoku/>
        <w:wordWrap/>
        <w:overflowPunct/>
        <w:topLinePunct w:val="0"/>
        <w:autoSpaceDE/>
        <w:autoSpaceDN/>
        <w:bidi w:val="0"/>
        <w:adjustRightInd/>
        <w:snapToGrid/>
        <w:spacing w:after="157" w:afterLines="50" w:line="64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宋体" w:hAnsi="宋体" w:eastAsia="宋体" w:cs="宋体"/>
          <w:b/>
          <w:bCs/>
          <w:sz w:val="44"/>
          <w:szCs w:val="44"/>
          <w:lang w:eastAsia="zh-CN"/>
        </w:rPr>
        <w:t>监测防控项目采购需求</w:t>
      </w:r>
    </w:p>
    <w:p w14:paraId="2596627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宋体"/>
          <w:sz w:val="30"/>
          <w:szCs w:val="30"/>
        </w:rPr>
      </w:pPr>
      <w:r>
        <w:rPr>
          <w:rFonts w:hint="eastAsia" w:ascii="黑体" w:hAnsi="黑体" w:eastAsia="黑体" w:cs="宋体"/>
          <w:sz w:val="30"/>
          <w:szCs w:val="30"/>
        </w:rPr>
        <w:t>一、基本要求</w:t>
      </w:r>
    </w:p>
    <w:p w14:paraId="4D0D3CB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eastAsia" w:ascii="仿宋" w:hAnsi="仿宋" w:eastAsia="仿宋" w:cs="仿宋"/>
          <w:bCs/>
          <w:sz w:val="30"/>
          <w:szCs w:val="30"/>
          <w:lang w:eastAsia="zh-CN"/>
        </w:rPr>
      </w:pPr>
      <w:r>
        <w:rPr>
          <w:rFonts w:hint="eastAsia" w:ascii="仿宋" w:hAnsi="仿宋" w:eastAsia="仿宋" w:cs="仿宋"/>
          <w:b/>
          <w:bCs w:val="0"/>
          <w:sz w:val="30"/>
          <w:szCs w:val="30"/>
          <w:lang w:eastAsia="zh-CN"/>
        </w:rPr>
        <w:t>1</w:t>
      </w:r>
      <w:r>
        <w:rPr>
          <w:rFonts w:hint="eastAsia" w:ascii="仿宋" w:hAnsi="仿宋" w:eastAsia="仿宋" w:cs="仿宋"/>
          <w:b/>
          <w:bCs w:val="0"/>
          <w:sz w:val="30"/>
          <w:szCs w:val="30"/>
          <w:lang w:val="en-US" w:eastAsia="zh-CN"/>
        </w:rPr>
        <w:t>.</w:t>
      </w:r>
      <w:r>
        <w:rPr>
          <w:rFonts w:hint="eastAsia" w:ascii="仿宋" w:hAnsi="仿宋" w:eastAsia="仿宋" w:cs="仿宋"/>
          <w:b/>
          <w:bCs w:val="0"/>
          <w:sz w:val="30"/>
          <w:szCs w:val="30"/>
          <w:lang w:eastAsia="zh-CN"/>
        </w:rPr>
        <w:t>功能要求：</w:t>
      </w:r>
      <w:r>
        <w:rPr>
          <w:rFonts w:hint="eastAsia" w:ascii="仿宋" w:hAnsi="仿宋" w:eastAsia="仿宋" w:cs="仿宋"/>
          <w:bCs/>
          <w:sz w:val="30"/>
          <w:szCs w:val="30"/>
          <w:lang w:eastAsia="zh-CN"/>
        </w:rPr>
        <w:t>通过项目的实施，配备完善疫源疫病监测、防控设备和野生动物救助处置装备，及时监测保护区辖区内野生动物疫源疫病及周边养殖疫源疫病情况，促进区域野生动物保护、救助等综合保护管理能力提升，为长期野生动物疾病防控做好预警工作，保护区域生物多样性。</w:t>
      </w:r>
    </w:p>
    <w:p w14:paraId="69156956">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2" w:firstLineChars="200"/>
        <w:textAlignment w:val="baseline"/>
        <w:rPr>
          <w:rFonts w:hint="default" w:ascii="仿宋" w:hAnsi="仿宋" w:eastAsia="仿宋" w:cs="仿宋"/>
          <w:bCs/>
          <w:sz w:val="30"/>
          <w:szCs w:val="30"/>
          <w:lang w:val="en-US" w:eastAsia="zh-CN"/>
        </w:rPr>
      </w:pPr>
      <w:r>
        <w:rPr>
          <w:rFonts w:hint="eastAsia" w:ascii="仿宋" w:hAnsi="仿宋" w:eastAsia="仿宋" w:cs="宋体"/>
          <w:b/>
          <w:bCs/>
          <w:sz w:val="30"/>
          <w:szCs w:val="30"/>
        </w:rPr>
        <w:t>2</w:t>
      </w:r>
      <w:r>
        <w:rPr>
          <w:rFonts w:hint="eastAsia" w:ascii="仿宋" w:hAnsi="仿宋" w:eastAsia="仿宋" w:cs="宋体"/>
          <w:b/>
          <w:bCs/>
          <w:sz w:val="30"/>
          <w:szCs w:val="30"/>
          <w:lang w:val="en-US" w:eastAsia="zh-CN"/>
        </w:rPr>
        <w:t>.</w:t>
      </w:r>
      <w:r>
        <w:rPr>
          <w:rFonts w:hint="eastAsia" w:ascii="仿宋" w:hAnsi="仿宋" w:eastAsia="仿宋" w:cs="宋体"/>
          <w:b/>
          <w:bCs/>
          <w:sz w:val="30"/>
          <w:szCs w:val="30"/>
        </w:rPr>
        <w:t>采购项目需要落实的政府采购政策：</w:t>
      </w:r>
      <w:r>
        <w:rPr>
          <w:rFonts w:hint="eastAsia" w:ascii="仿宋" w:hAnsi="仿宋" w:eastAsia="仿宋" w:cs="仿宋"/>
          <w:bCs/>
          <w:sz w:val="30"/>
          <w:szCs w:val="30"/>
          <w:lang w:eastAsia="zh-CN"/>
        </w:rPr>
        <w:t>（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 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其他需要落实的政府采购政策。</w:t>
      </w:r>
    </w:p>
    <w:p w14:paraId="40284C54">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default" w:ascii="仿宋" w:hAnsi="仿宋" w:eastAsia="仿宋" w:cs="仿宋"/>
          <w:bCs/>
          <w:color w:val="auto"/>
          <w:sz w:val="30"/>
          <w:szCs w:val="30"/>
          <w:lang w:val="en-US" w:eastAsia="zh-CN"/>
        </w:rPr>
      </w:pPr>
      <w:r>
        <w:rPr>
          <w:rFonts w:hint="eastAsia" w:ascii="仿宋" w:hAnsi="仿宋" w:eastAsia="仿宋" w:cs="仿宋"/>
          <w:bCs/>
          <w:color w:val="auto"/>
          <w:sz w:val="30"/>
          <w:szCs w:val="30"/>
          <w:lang w:eastAsia="zh-CN"/>
        </w:rPr>
        <w:t>3</w:t>
      </w:r>
      <w:r>
        <w:rPr>
          <w:rFonts w:hint="eastAsia" w:ascii="仿宋" w:hAnsi="仿宋" w:eastAsia="仿宋" w:cs="仿宋"/>
          <w:bCs/>
          <w:color w:val="auto"/>
          <w:sz w:val="30"/>
          <w:szCs w:val="30"/>
          <w:lang w:val="en-US" w:eastAsia="zh-CN"/>
        </w:rPr>
        <w:t>.</w:t>
      </w:r>
      <w:r>
        <w:rPr>
          <w:rFonts w:hint="eastAsia" w:ascii="仿宋" w:hAnsi="仿宋" w:eastAsia="仿宋" w:cs="仿宋"/>
          <w:bCs/>
          <w:color w:val="auto"/>
          <w:sz w:val="30"/>
          <w:szCs w:val="30"/>
          <w:lang w:eastAsia="zh-CN"/>
        </w:rPr>
        <w:t>服务期限：</w:t>
      </w:r>
      <w:r>
        <w:rPr>
          <w:rFonts w:hint="eastAsia" w:ascii="仿宋" w:hAnsi="仿宋" w:eastAsia="仿宋" w:cs="仿宋"/>
          <w:bCs/>
          <w:color w:val="auto"/>
          <w:sz w:val="30"/>
          <w:szCs w:val="30"/>
          <w:lang w:val="en-US" w:eastAsia="zh-CN"/>
        </w:rPr>
        <w:t>自合同签订之日起至2026年12月31日止</w:t>
      </w:r>
    </w:p>
    <w:p w14:paraId="1573754A">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color w:val="auto"/>
          <w:sz w:val="30"/>
          <w:szCs w:val="30"/>
          <w:lang w:val="en-US" w:eastAsia="zh-CN"/>
        </w:rPr>
      </w:pPr>
      <w:r>
        <w:rPr>
          <w:rFonts w:hint="eastAsia" w:ascii="仿宋" w:hAnsi="仿宋" w:eastAsia="仿宋" w:cs="仿宋"/>
          <w:bCs/>
          <w:color w:val="auto"/>
          <w:sz w:val="30"/>
          <w:szCs w:val="30"/>
          <w:lang w:eastAsia="zh-CN"/>
        </w:rPr>
        <w:t>4</w:t>
      </w:r>
      <w:r>
        <w:rPr>
          <w:rFonts w:hint="eastAsia" w:ascii="仿宋" w:hAnsi="仿宋" w:eastAsia="仿宋" w:cs="仿宋"/>
          <w:bCs/>
          <w:color w:val="auto"/>
          <w:sz w:val="30"/>
          <w:szCs w:val="30"/>
          <w:lang w:val="en-US" w:eastAsia="zh-CN"/>
        </w:rPr>
        <w:t>.</w:t>
      </w:r>
      <w:r>
        <w:rPr>
          <w:rFonts w:hint="eastAsia" w:ascii="仿宋" w:hAnsi="仿宋" w:eastAsia="仿宋" w:cs="仿宋"/>
          <w:bCs/>
          <w:color w:val="auto"/>
          <w:sz w:val="30"/>
          <w:szCs w:val="30"/>
          <w:lang w:eastAsia="zh-CN"/>
        </w:rPr>
        <w:t>服务地点：</w:t>
      </w:r>
      <w:r>
        <w:rPr>
          <w:rFonts w:hint="eastAsia" w:ascii="仿宋" w:hAnsi="仿宋" w:eastAsia="仿宋" w:cs="仿宋"/>
          <w:bCs/>
          <w:color w:val="auto"/>
          <w:sz w:val="30"/>
          <w:szCs w:val="30"/>
          <w:lang w:val="en-US" w:eastAsia="zh-CN"/>
        </w:rPr>
        <w:t>渭南市</w:t>
      </w:r>
    </w:p>
    <w:p w14:paraId="346D9ED3">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Cs/>
          <w:color w:val="auto"/>
          <w:sz w:val="30"/>
          <w:szCs w:val="30"/>
          <w:lang w:eastAsia="zh-CN"/>
        </w:rPr>
      </w:pPr>
      <w:r>
        <w:rPr>
          <w:rFonts w:hint="eastAsia" w:ascii="仿宋" w:hAnsi="仿宋" w:eastAsia="仿宋" w:cs="仿宋"/>
          <w:bCs/>
          <w:color w:val="auto"/>
          <w:sz w:val="30"/>
          <w:szCs w:val="30"/>
          <w:lang w:eastAsia="zh-CN"/>
        </w:rPr>
        <w:t>5</w:t>
      </w:r>
      <w:r>
        <w:rPr>
          <w:rFonts w:hint="eastAsia" w:ascii="仿宋" w:hAnsi="仿宋" w:eastAsia="仿宋" w:cs="仿宋"/>
          <w:bCs/>
          <w:color w:val="auto"/>
          <w:sz w:val="30"/>
          <w:szCs w:val="30"/>
          <w:lang w:val="en-US" w:eastAsia="zh-CN"/>
        </w:rPr>
        <w:t>.</w:t>
      </w:r>
      <w:r>
        <w:rPr>
          <w:rFonts w:hint="eastAsia" w:ascii="仿宋" w:hAnsi="仿宋" w:eastAsia="仿宋" w:cs="仿宋"/>
          <w:bCs/>
          <w:color w:val="auto"/>
          <w:sz w:val="30"/>
          <w:szCs w:val="30"/>
          <w:lang w:eastAsia="zh-CN"/>
        </w:rPr>
        <w:t>是否面向中小企业采购：是，专门面向</w:t>
      </w:r>
      <w:r>
        <w:rPr>
          <w:rFonts w:hint="eastAsia" w:ascii="仿宋" w:hAnsi="仿宋" w:eastAsia="仿宋" w:cs="仿宋"/>
          <w:bCs/>
          <w:color w:val="auto"/>
          <w:sz w:val="30"/>
          <w:szCs w:val="30"/>
          <w:lang w:val="en-US" w:eastAsia="zh-CN"/>
        </w:rPr>
        <w:t>中小</w:t>
      </w:r>
      <w:r>
        <w:rPr>
          <w:rFonts w:hint="eastAsia" w:ascii="仿宋" w:hAnsi="仿宋" w:eastAsia="仿宋" w:cs="仿宋"/>
          <w:bCs/>
          <w:color w:val="auto"/>
          <w:sz w:val="30"/>
          <w:szCs w:val="30"/>
          <w:lang w:eastAsia="zh-CN"/>
        </w:rPr>
        <w:t>企业</w:t>
      </w:r>
    </w:p>
    <w:p w14:paraId="1D9C96C9">
      <w:pPr>
        <w:keepNext w:val="0"/>
        <w:keepLines w:val="0"/>
        <w:pageBreakBefore w:val="0"/>
        <w:widowControl w:val="0"/>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黑体" w:hAnsi="黑体" w:eastAsia="黑体" w:cs="宋体"/>
          <w:sz w:val="30"/>
          <w:szCs w:val="30"/>
        </w:rPr>
      </w:pPr>
      <w:r>
        <w:rPr>
          <w:rFonts w:hint="eastAsia" w:ascii="黑体" w:hAnsi="黑体" w:eastAsia="黑体" w:cs="宋体"/>
          <w:sz w:val="30"/>
          <w:szCs w:val="30"/>
        </w:rPr>
        <w:t>二、需执行的国家相关标准、行业标准、地方标准或者其他标准、规范标准</w:t>
      </w:r>
      <w:bookmarkStart w:id="1" w:name="_Toc8800"/>
      <w:bookmarkStart w:id="2" w:name="_Toc31446"/>
      <w:bookmarkStart w:id="3" w:name="_Toc26384"/>
      <w:bookmarkStart w:id="4" w:name="_Toc19083"/>
    </w:p>
    <w:bookmarkEnd w:id="1"/>
    <w:bookmarkEnd w:id="2"/>
    <w:bookmarkEnd w:id="3"/>
    <w:bookmarkEnd w:id="4"/>
    <w:p w14:paraId="78C2A745">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1.《中华人民共和国野生动物保护法》（2022年12月30日修订）</w:t>
      </w:r>
    </w:p>
    <w:p w14:paraId="0E862458">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2.《中华人民共和国动物防疫法》（2021年1月22日修订）</w:t>
      </w:r>
    </w:p>
    <w:p w14:paraId="1D99CAB5">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3.《中华人民共和国生物安全法》（2021年4月15日施行）</w:t>
      </w:r>
    </w:p>
    <w:p w14:paraId="5858C6A6">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4.《中华人民共和国畜牧法》（2022年10月30日修订）</w:t>
      </w:r>
    </w:p>
    <w:p w14:paraId="011C035E">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5.《中华人民共和国陆生野生动物保护实施条例》（2016年2月6日修订）</w:t>
      </w:r>
    </w:p>
    <w:p w14:paraId="04A633B3">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6.《陕西省实施&lt;中华人民共和国野生动物保护法&gt;办法》（2023年7月28日修订）</w:t>
      </w:r>
    </w:p>
    <w:p w14:paraId="19E7C277">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7.《重大动物疫情应急条例》（2017年10月7日修订）</w:t>
      </w:r>
    </w:p>
    <w:p w14:paraId="1ABC2FCC">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8.《陆生野生动物疫源疫病监测防控管理办法》（2013年1月22日国家林业局令第31号）</w:t>
      </w:r>
    </w:p>
    <w:p w14:paraId="42593D3F">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9.《野生动物收容救助管理办法》（2017年12月1日国家林业局第47号令）</w:t>
      </w:r>
    </w:p>
    <w:p w14:paraId="5087C698">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10.《野生动物检疫办法》（2023年3月24日农业农村部、国家林业和草原局第656号公布发布）</w:t>
      </w:r>
    </w:p>
    <w:p w14:paraId="064E9520">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11.《陕西省分布的国家重点保护野生动物名录》（2022年）</w:t>
      </w:r>
    </w:p>
    <w:p w14:paraId="02C2762D">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12.《陕西省分布的有重要生态、科学、社会价值的陆生野生动物及其分布》（2022年）</w:t>
      </w:r>
    </w:p>
    <w:p w14:paraId="5CF1E5C5">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default"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13.《陆生野生动物及其栖息地调查技术规程》（GB/T37364.4—2024 ）</w:t>
      </w:r>
    </w:p>
    <w:p w14:paraId="13BC440C">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14.《生物多样性观测技术导则》（HJ 710.1～11—2014）</w:t>
      </w:r>
    </w:p>
    <w:p w14:paraId="0CD4F578">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15.《陆生野生动物疫源疫病调查监测技术规范》（LY/T2359-2014）</w:t>
      </w:r>
    </w:p>
    <w:p w14:paraId="4999CC46">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黑体" w:hAnsi="黑体" w:eastAsia="黑体" w:cs="黑体"/>
          <w:b w:val="0"/>
          <w:bCs w:val="0"/>
          <w:color w:val="auto"/>
          <w:sz w:val="30"/>
          <w:szCs w:val="30"/>
          <w:lang w:val="en-US" w:eastAsia="zh-CN"/>
        </w:rPr>
      </w:pPr>
      <w:r>
        <w:rPr>
          <w:rFonts w:hint="eastAsia" w:ascii="黑体" w:hAnsi="黑体" w:eastAsia="黑体" w:cs="黑体"/>
          <w:b w:val="0"/>
          <w:bCs w:val="0"/>
          <w:color w:val="auto"/>
          <w:sz w:val="30"/>
          <w:szCs w:val="30"/>
          <w:lang w:val="en-US" w:eastAsia="zh-CN"/>
        </w:rPr>
        <w:t>三、服务指标的具体要求</w:t>
      </w:r>
    </w:p>
    <w:p w14:paraId="6A0C7890">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1.野生动物疫源疫病防控能力提升</w:t>
      </w:r>
    </w:p>
    <w:p w14:paraId="20FFAD60">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2.野生动物疫源疫病监测及保护与救助</w:t>
      </w:r>
    </w:p>
    <w:p w14:paraId="13353F2F">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仿宋"/>
          <w:b w:val="0"/>
          <w:bCs/>
          <w:kern w:val="2"/>
          <w:sz w:val="30"/>
          <w:szCs w:val="30"/>
          <w:lang w:val="en-US" w:eastAsia="zh-CN" w:bidi="ar-SA"/>
        </w:rPr>
      </w:pPr>
      <w:r>
        <w:rPr>
          <w:rFonts w:hint="eastAsia" w:ascii="仿宋" w:hAnsi="仿宋" w:eastAsia="仿宋" w:cs="仿宋"/>
          <w:b w:val="0"/>
          <w:bCs/>
          <w:kern w:val="2"/>
          <w:sz w:val="30"/>
          <w:szCs w:val="30"/>
          <w:lang w:val="en-US" w:eastAsia="zh-CN" w:bidi="ar-SA"/>
        </w:rPr>
        <w:t>3.科普宣教</w:t>
      </w:r>
    </w:p>
    <w:p w14:paraId="751D7628">
      <w:pPr>
        <w:keepNext w:val="0"/>
        <w:keepLines w:val="0"/>
        <w:pageBreakBefore w:val="0"/>
        <w:widowControl w:val="0"/>
        <w:numPr>
          <w:ilvl w:val="0"/>
          <w:numId w:val="0"/>
        </w:numPr>
        <w:pBdr>
          <w:bottom w:val="single" w:color="FFFFFF" w:sz="4" w:space="31"/>
        </w:pBdr>
        <w:tabs>
          <w:tab w:val="left" w:pos="720"/>
        </w:tabs>
        <w:kinsoku/>
        <w:wordWrap/>
        <w:overflowPunct/>
        <w:topLinePunct w:val="0"/>
        <w:autoSpaceDE/>
        <w:autoSpaceDN/>
        <w:bidi w:val="0"/>
        <w:adjustRightInd/>
        <w:snapToGrid/>
        <w:spacing w:after="0" w:line="560" w:lineRule="exact"/>
        <w:ind w:firstLine="600" w:firstLineChars="200"/>
        <w:textAlignment w:val="baseline"/>
        <w:rPr>
          <w:rFonts w:hint="eastAsia" w:ascii="仿宋" w:hAnsi="仿宋" w:eastAsia="仿宋" w:cs="宋体"/>
          <w:sz w:val="30"/>
          <w:szCs w:val="30"/>
        </w:rPr>
      </w:pPr>
      <w:r>
        <w:rPr>
          <w:rFonts w:hint="eastAsia" w:ascii="仿宋" w:hAnsi="仿宋" w:eastAsia="仿宋" w:cs="仿宋"/>
          <w:b w:val="0"/>
          <w:bCs/>
          <w:kern w:val="2"/>
          <w:sz w:val="30"/>
          <w:szCs w:val="30"/>
          <w:lang w:val="en-US" w:eastAsia="zh-CN" w:bidi="ar-SA"/>
        </w:rPr>
        <w:t>4.服务质量</w:t>
      </w:r>
      <w:bookmarkStart w:id="5" w:name="_Hlk114696595"/>
      <w:r>
        <w:rPr>
          <w:rFonts w:hint="eastAsia" w:ascii="仿宋" w:hAnsi="仿宋" w:eastAsia="仿宋" w:cs="仿宋"/>
          <w:b w:val="0"/>
          <w:bCs/>
          <w:kern w:val="2"/>
          <w:sz w:val="30"/>
          <w:szCs w:val="30"/>
          <w:lang w:val="en-US" w:eastAsia="zh-CN" w:bidi="ar-SA"/>
        </w:rPr>
        <w:t>：</w:t>
      </w:r>
      <w:bookmarkStart w:id="6" w:name="_GoBack"/>
      <w:bookmarkEnd w:id="6"/>
      <w:r>
        <w:rPr>
          <w:rFonts w:hint="eastAsia" w:ascii="仿宋" w:hAnsi="仿宋" w:eastAsia="仿宋" w:cs="宋体"/>
          <w:sz w:val="30"/>
          <w:szCs w:val="30"/>
        </w:rPr>
        <w:t>完成《</w:t>
      </w:r>
      <w:r>
        <w:rPr>
          <w:rFonts w:hint="eastAsia" w:ascii="仿宋" w:hAnsi="仿宋" w:eastAsia="仿宋" w:cs="宋体"/>
          <w:sz w:val="30"/>
          <w:szCs w:val="30"/>
          <w:lang w:eastAsia="zh-CN"/>
        </w:rPr>
        <w:t>渭南市2026年国家重点野生动物疫源疫病监测防控项目</w:t>
      </w:r>
      <w:r>
        <w:rPr>
          <w:rFonts w:hint="eastAsia" w:ascii="仿宋" w:hAnsi="仿宋" w:eastAsia="仿宋" w:cs="宋体"/>
          <w:sz w:val="30"/>
          <w:szCs w:val="30"/>
        </w:rPr>
        <w:t>》全部项目实施内容且达到合格标准</w:t>
      </w:r>
      <w:bookmarkEnd w:id="5"/>
      <w:r>
        <w:rPr>
          <w:rFonts w:hint="eastAsia" w:ascii="仿宋" w:hAnsi="仿宋" w:eastAsia="仿宋" w:cs="宋体"/>
          <w:sz w:val="30"/>
          <w:szCs w:val="30"/>
        </w:rPr>
        <w:t>，符合国家相关行业规范、规程和有关技术规定。</w:t>
      </w:r>
    </w:p>
    <w:p w14:paraId="1D6519B7">
      <w:pPr>
        <w:pStyle w:val="7"/>
        <w:rPr>
          <w:rFonts w:hint="eastAsia"/>
          <w:lang w:val="en-US" w:eastAsia="zh-CN"/>
        </w:rPr>
      </w:pPr>
    </w:p>
    <w:p w14:paraId="6554DFFB">
      <w:pPr>
        <w:pStyle w:val="7"/>
        <w:rPr>
          <w:rFonts w:hint="eastAsia"/>
          <w:lang w:val="en-US" w:eastAsia="zh-CN"/>
        </w:rPr>
      </w:pPr>
    </w:p>
    <w:p w14:paraId="043ECBAA">
      <w:pPr>
        <w:pStyle w:val="7"/>
        <w:rPr>
          <w:rFonts w:hint="eastAsia"/>
          <w:lang w:val="en-US" w:eastAsia="zh-CN"/>
        </w:rPr>
      </w:pPr>
    </w:p>
    <w:p w14:paraId="6C02EA4F">
      <w:pPr>
        <w:pStyle w:val="7"/>
        <w:rPr>
          <w:rFonts w:hint="eastAsia"/>
          <w:lang w:val="en-US" w:eastAsia="zh-CN"/>
        </w:rPr>
      </w:pPr>
    </w:p>
    <w:p w14:paraId="0B80E6E0">
      <w:pPr>
        <w:pStyle w:val="7"/>
        <w:rPr>
          <w:rFonts w:hint="eastAsia"/>
          <w:lang w:val="en-US" w:eastAsia="zh-CN"/>
        </w:rPr>
      </w:pPr>
    </w:p>
    <w:p w14:paraId="570C9C22">
      <w:pPr>
        <w:bidi w:val="0"/>
        <w:jc w:val="both"/>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9B525">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0E1411">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F0E1411">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B0DC4"/>
    <w:rsid w:val="02DE55EF"/>
    <w:rsid w:val="04B05649"/>
    <w:rsid w:val="08FC256D"/>
    <w:rsid w:val="0E255AF1"/>
    <w:rsid w:val="0F7D6CA6"/>
    <w:rsid w:val="104E5D16"/>
    <w:rsid w:val="12353631"/>
    <w:rsid w:val="14223506"/>
    <w:rsid w:val="150D43F1"/>
    <w:rsid w:val="17FD24DA"/>
    <w:rsid w:val="189310B2"/>
    <w:rsid w:val="18BE1FCB"/>
    <w:rsid w:val="1AE31E7C"/>
    <w:rsid w:val="1C503F98"/>
    <w:rsid w:val="1E9516DF"/>
    <w:rsid w:val="1EBB4EBE"/>
    <w:rsid w:val="1F933745"/>
    <w:rsid w:val="1FC05655"/>
    <w:rsid w:val="23501D9E"/>
    <w:rsid w:val="23D47A29"/>
    <w:rsid w:val="26FB67A0"/>
    <w:rsid w:val="2A43508E"/>
    <w:rsid w:val="2C70392E"/>
    <w:rsid w:val="2F2705EF"/>
    <w:rsid w:val="2FA8323D"/>
    <w:rsid w:val="31F439E7"/>
    <w:rsid w:val="33BB5810"/>
    <w:rsid w:val="35CC7914"/>
    <w:rsid w:val="36E86488"/>
    <w:rsid w:val="37DB4B59"/>
    <w:rsid w:val="382E24C5"/>
    <w:rsid w:val="38960718"/>
    <w:rsid w:val="3A4A3423"/>
    <w:rsid w:val="3B985F13"/>
    <w:rsid w:val="3BD41B1B"/>
    <w:rsid w:val="3E725142"/>
    <w:rsid w:val="40896920"/>
    <w:rsid w:val="40937285"/>
    <w:rsid w:val="41060B89"/>
    <w:rsid w:val="4182569C"/>
    <w:rsid w:val="41E675C8"/>
    <w:rsid w:val="4501043F"/>
    <w:rsid w:val="4588333A"/>
    <w:rsid w:val="45FE7882"/>
    <w:rsid w:val="47321912"/>
    <w:rsid w:val="48496F13"/>
    <w:rsid w:val="4B0610EB"/>
    <w:rsid w:val="4B6F106F"/>
    <w:rsid w:val="4E47675F"/>
    <w:rsid w:val="507247C1"/>
    <w:rsid w:val="532272D6"/>
    <w:rsid w:val="536F7A4A"/>
    <w:rsid w:val="548D63DA"/>
    <w:rsid w:val="55717AA9"/>
    <w:rsid w:val="64CB0717"/>
    <w:rsid w:val="67D6379C"/>
    <w:rsid w:val="69772EDC"/>
    <w:rsid w:val="6AFE5C01"/>
    <w:rsid w:val="6B795EB5"/>
    <w:rsid w:val="6BAD5D17"/>
    <w:rsid w:val="6EE3336E"/>
    <w:rsid w:val="6EF82A40"/>
    <w:rsid w:val="705B6F82"/>
    <w:rsid w:val="7631359E"/>
    <w:rsid w:val="76DB492B"/>
    <w:rsid w:val="782642CC"/>
    <w:rsid w:val="7A4F6376"/>
    <w:rsid w:val="7A7F2E57"/>
    <w:rsid w:val="7A951295"/>
    <w:rsid w:val="7E9F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3"/>
    <w:qFormat/>
    <w:uiPriority w:val="0"/>
    <w:pPr>
      <w:spacing w:line="600" w:lineRule="exact"/>
      <w:ind w:firstLine="0" w:firstLineChars="0"/>
      <w:outlineLvl w:val="2"/>
    </w:pPr>
    <w:rPr>
      <w:rFonts w:ascii="Times New Roman" w:hAnsi="Times New Roman" w:cs="黑体"/>
      <w:b/>
      <w:bCs/>
      <w:szCs w:val="30"/>
    </w:rPr>
  </w:style>
  <w:style w:type="paragraph" w:styleId="5">
    <w:name w:val="heading 4"/>
    <w:basedOn w:val="1"/>
    <w:next w:val="1"/>
    <w:qFormat/>
    <w:uiPriority w:val="0"/>
    <w:pPr>
      <w:keepNext/>
      <w:keepLines/>
      <w:widowControl/>
      <w:spacing w:beforeLines="50"/>
      <w:outlineLvl w:val="3"/>
    </w:pPr>
    <w:rPr>
      <w:rFonts w:ascii="仿宋" w:hAnsi="仿宋" w:eastAsia="仿宋" w:cs="仿宋"/>
      <w:bCs/>
      <w:kern w:val="0"/>
      <w:szCs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tabs>
        <w:tab w:val="left" w:pos="2865"/>
      </w:tabs>
      <w:spacing w:line="240" w:lineRule="auto"/>
      <w:ind w:firstLine="0" w:firstLineChars="0"/>
      <w:jc w:val="center"/>
    </w:pPr>
  </w:style>
  <w:style w:type="paragraph" w:styleId="4">
    <w:name w:val="Block Text"/>
    <w:basedOn w:val="1"/>
    <w:next w:val="1"/>
    <w:qFormat/>
    <w:uiPriority w:val="0"/>
    <w:pPr>
      <w:spacing w:after="120"/>
      <w:ind w:left="1440" w:leftChars="700" w:right="700" w:rightChars="700"/>
    </w:pPr>
  </w:style>
  <w:style w:type="paragraph" w:styleId="6">
    <w:name w:val="annotation text"/>
    <w:basedOn w:val="1"/>
    <w:qFormat/>
    <w:uiPriority w:val="0"/>
  </w:style>
  <w:style w:type="paragraph" w:styleId="7">
    <w:name w:val="Body Text"/>
    <w:basedOn w:val="1"/>
    <w:qFormat/>
    <w:uiPriority w:val="99"/>
    <w:pPr>
      <w:spacing w:after="12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spacing w:line="56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qFormat/>
    <w:uiPriority w:val="0"/>
    <w:rPr>
      <w:sz w:val="21"/>
      <w:szCs w:val="21"/>
    </w:rPr>
  </w:style>
  <w:style w:type="paragraph" w:customStyle="1" w:styleId="14">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5000</Words>
  <Characters>5231</Characters>
  <Lines>0</Lines>
  <Paragraphs>0</Paragraphs>
  <TotalTime>2</TotalTime>
  <ScaleCrop>false</ScaleCrop>
  <LinksUpToDate>false</LinksUpToDate>
  <CharactersWithSpaces>5295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2026-01-25T06:00:00Z</dcterms:created>
  <dc:creator>lenovo</dc:creator>
  <cp:lastModifiedBy>1</cp:lastModifiedBy>
  <cp:lastPrinted>2026-06-23T02:12:00Z</cp:lastPrinted>
  <dcterms:modified xsi:type="dcterms:W3CDTF">2026-07-08T02:32:40Z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eyJoZGlkIjoiMjZlYTJmYjQ3NTg4NDc2N2E3NDYyOWVlMmZjY2YzYmYiLCJ1c2VySWQiOiIzODk0Njg4MTQifQ==</vt:lpwstr>
  </property>
  <property fmtid="{D5CDD505-2E9C-101B-9397-08002B2CF9AE}" pid="4" name="ICV">
    <vt:lpwstr>8B4CE879A21C4A629E0440D022B6250D_12</vt:lpwstr>
  </property>
</Properties>
</file>