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版本号：JJX-2026-06120260720001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部分建筑屋面防水维修及供暖管道维修项目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JJX-2026-061</w:t>
      </w:r>
      <w:r>
        <w:br/>
      </w:r>
      <w:r>
        <w:br/>
      </w:r>
      <w:r>
        <w:br/>
      </w:r>
    </w:p>
    <w:p>
      <w:pPr>
        <w:pStyle w:val="null3"/>
        <w:jc w:val="center"/>
        <w:outlineLvl w:val="2"/>
      </w:pPr>
      <w:r>
        <w:rPr>
          <w:rFonts w:ascii="仿宋_GB2312" w:hAnsi="仿宋_GB2312" w:cs="仿宋_GB2312" w:eastAsia="仿宋_GB2312"/>
          <w:sz w:val="28"/>
          <w:b/>
        </w:rPr>
        <w:t>渭南职业技术学院</w:t>
      </w:r>
    </w:p>
    <w:p>
      <w:pPr>
        <w:pStyle w:val="null3"/>
        <w:jc w:val="center"/>
        <w:outlineLvl w:val="2"/>
      </w:pPr>
      <w:r>
        <w:rPr>
          <w:rFonts w:ascii="仿宋_GB2312" w:hAnsi="仿宋_GB2312" w:cs="仿宋_GB2312" w:eastAsia="仿宋_GB2312"/>
          <w:sz w:val="28"/>
          <w:b/>
        </w:rPr>
        <w:t>陕西金吉翔项目管理有限公司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渭南职业技术学院</w:t>
      </w:r>
      <w:r>
        <w:rPr>
          <w:rFonts w:ascii="仿宋_GB2312" w:hAnsi="仿宋_GB2312" w:cs="仿宋_GB2312" w:eastAsia="仿宋_GB2312"/>
        </w:rPr>
        <w:t>委托，拟对</w:t>
      </w:r>
      <w:r>
        <w:rPr>
          <w:rFonts w:ascii="仿宋_GB2312" w:hAnsi="仿宋_GB2312" w:cs="仿宋_GB2312" w:eastAsia="仿宋_GB2312"/>
        </w:rPr>
        <w:t>部分建筑屋面防水维修及供暖管道维修项目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JJX-2026-061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部分建筑屋面防水维修及供暖管道维修项目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部分建筑屋面防水维修及供暖管道维修项目,具体详见工程量清单。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采购包1（部分建筑屋面防水维修项目）：属于专门面向中小企业采购。</w:t>
      </w:r>
    </w:p>
    <w:p>
      <w:pPr>
        <w:pStyle w:val="null3"/>
      </w:pPr>
      <w:r>
        <w:rPr>
          <w:rFonts w:ascii="仿宋_GB2312" w:hAnsi="仿宋_GB2312" w:cs="仿宋_GB2312" w:eastAsia="仿宋_GB2312"/>
        </w:rPr>
        <w:t>采购包2（供暖管道维修项目）：属于专门面向中小企业采购。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1、法人证明或法人授权委托书：法定代表人资格证明或法定代表人授权委托书原件、授权代表身份证复印件。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pPr>
      <w:r>
        <w:rPr>
          <w:rFonts w:ascii="仿宋_GB2312" w:hAnsi="仿宋_GB2312" w:cs="仿宋_GB2312" w:eastAsia="仿宋_GB2312"/>
        </w:rPr>
        <w:t>3、企业资质：供应商需具有建设行政主管部门颁发的建筑工程施工总承包三级及以上资质，具有有效的国家建设行政主管部门颁发的安全生产许可证。</w:t>
      </w:r>
    </w:p>
    <w:p>
      <w:pPr>
        <w:pStyle w:val="null3"/>
      </w:pPr>
      <w:r>
        <w:rPr>
          <w:rFonts w:ascii="仿宋_GB2312" w:hAnsi="仿宋_GB2312" w:cs="仿宋_GB2312" w:eastAsia="仿宋_GB2312"/>
        </w:rPr>
        <w:t>4、项目经理：项目经理须具备建筑工程专业二级及以上建造师资格,具有有效的安全生产考核合格证书（建安B证），且未担任其他在建工程项目的项目经理声明。</w:t>
      </w:r>
    </w:p>
    <w:p>
      <w:pPr>
        <w:pStyle w:val="null3"/>
      </w:pPr>
      <w:r>
        <w:rPr>
          <w:rFonts w:ascii="仿宋_GB2312" w:hAnsi="仿宋_GB2312" w:cs="仿宋_GB2312" w:eastAsia="仿宋_GB2312"/>
        </w:rPr>
        <w:t>5、供应商及项目经理备案情况：供应商及项目经理基本信息在“陕西省建筑市场监管与诚信信息发布平台”可查询。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1、法人证明或法人授权委托书：法定代表人资格证明或法定代表人授权委托书原件、授权代表身份证复印件。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pPr>
      <w:r>
        <w:rPr>
          <w:rFonts w:ascii="仿宋_GB2312" w:hAnsi="仿宋_GB2312" w:cs="仿宋_GB2312" w:eastAsia="仿宋_GB2312"/>
        </w:rPr>
        <w:t>3、企业资质：供应商需具有建设行政主管部门颁发的建筑工程施工总承包三级及以上资质，具有有效的国家建设行政主管部门颁发的安全生产许可证。</w:t>
      </w:r>
    </w:p>
    <w:p>
      <w:pPr>
        <w:pStyle w:val="null3"/>
      </w:pPr>
      <w:r>
        <w:rPr>
          <w:rFonts w:ascii="仿宋_GB2312" w:hAnsi="仿宋_GB2312" w:cs="仿宋_GB2312" w:eastAsia="仿宋_GB2312"/>
        </w:rPr>
        <w:t>4、项目经理：项目经理须具备建筑工程专业二级及以上建造师资格,具有有效的安全生产考核合格证书（建安B证），且未担任其他在建工程项目的项目经理声明。</w:t>
      </w:r>
    </w:p>
    <w:p>
      <w:pPr>
        <w:pStyle w:val="null3"/>
      </w:pPr>
      <w:r>
        <w:rPr>
          <w:rFonts w:ascii="仿宋_GB2312" w:hAnsi="仿宋_GB2312" w:cs="仿宋_GB2312" w:eastAsia="仿宋_GB2312"/>
        </w:rPr>
        <w:t>5、供应商及项目经理备案情况：供应商及项目经理基本信息在“陕西省建筑市场监管与诚信信息发布平台”可查询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渭南市高新区胜利大街西段科教园区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周居政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0913-3033072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渭南市临渭区玉德路豪庭佳苑南门东临四层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0913-2529777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采购包1：1,194,400.00元</w:t>
            </w:r>
          </w:p>
          <w:p>
            <w:pPr>
              <w:pStyle w:val="null3"/>
            </w:pPr>
            <w:r>
              <w:rPr>
                <w:rFonts w:ascii="仿宋_GB2312" w:hAnsi="仿宋_GB2312" w:cs="仿宋_GB2312" w:eastAsia="仿宋_GB2312"/>
              </w:rPr>
              <w:t>采购包2：266,500.00元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工程类费率收取代理服务费。由成交供应商在成交结果发布后一次性向采购代理机构缴纳。</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渭南职业技术学院</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本项目不涉及知识产权约束。</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达到国家现行《建筑工程施工质量验收统一标准》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达到国家现行《建筑工程施工质量验收统一标准》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联系人：郭晨</w:t>
      </w:r>
    </w:p>
    <w:p>
      <w:pPr>
        <w:pStyle w:val="null3"/>
      </w:pPr>
      <w:r>
        <w:rPr>
          <w:rFonts w:ascii="仿宋_GB2312" w:hAnsi="仿宋_GB2312" w:cs="仿宋_GB2312" w:eastAsia="仿宋_GB2312"/>
        </w:rPr>
        <w:t>联系电话：0913-2529777</w:t>
      </w:r>
    </w:p>
    <w:p>
      <w:pPr>
        <w:pStyle w:val="null3"/>
      </w:pPr>
      <w:r>
        <w:rPr>
          <w:rFonts w:ascii="仿宋_GB2312" w:hAnsi="仿宋_GB2312" w:cs="仿宋_GB2312" w:eastAsia="仿宋_GB2312"/>
        </w:rPr>
        <w:t>地址：渭南市临渭区玉德路豪庭佳苑南门东临四层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1,194,400.00</w:t>
      </w:r>
    </w:p>
    <w:p>
      <w:pPr>
        <w:pStyle w:val="null3"/>
      </w:pPr>
      <w:r>
        <w:rPr>
          <w:rFonts w:ascii="仿宋_GB2312" w:hAnsi="仿宋_GB2312" w:cs="仿宋_GB2312" w:eastAsia="仿宋_GB2312"/>
        </w:rPr>
        <w:t>采购包最高限价（元）: 1,194,400.00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部分建筑屋面防水维修项目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1,194,400.00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266,500.00</w:t>
      </w:r>
    </w:p>
    <w:p>
      <w:pPr>
        <w:pStyle w:val="null3"/>
      </w:pPr>
      <w:r>
        <w:rPr>
          <w:rFonts w:ascii="仿宋_GB2312" w:hAnsi="仿宋_GB2312" w:cs="仿宋_GB2312" w:eastAsia="仿宋_GB2312"/>
        </w:rPr>
        <w:t>采购包最高限价（元）: 266,500.00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供暖管道维修项目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266,500.00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标的名称：部分建筑屋面防水维修项目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一、工程概况</w:t>
            </w:r>
          </w:p>
          <w:p>
            <w:pPr>
              <w:pStyle w:val="null3"/>
              <w:ind w:firstLine="560"/>
              <w:jc w:val="left"/>
            </w:pPr>
            <w:r>
              <w:rPr>
                <w:rFonts w:ascii="仿宋_GB2312" w:hAnsi="仿宋_GB2312" w:cs="仿宋_GB2312" w:eastAsia="仿宋_GB2312"/>
                <w:sz w:val="28"/>
              </w:rPr>
              <w:t>本项目建设规模及主要内容包括：朝阳校区</w:t>
            </w:r>
            <w:r>
              <w:rPr>
                <w:rFonts w:ascii="仿宋_GB2312" w:hAnsi="仿宋_GB2312" w:cs="仿宋_GB2312" w:eastAsia="仿宋_GB2312"/>
                <w:sz w:val="28"/>
              </w:rPr>
              <w:t>-南教学楼、学生3#公寓楼及高新校区-公寓楼、餐厅屋面防水改造。</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jc w:val="both"/>
            </w:pPr>
            <w:r>
              <w:rPr>
                <w:rFonts w:ascii="仿宋_GB2312" w:hAnsi="仿宋_GB2312" w:cs="仿宋_GB2312" w:eastAsia="仿宋_GB2312"/>
                <w:sz w:val="28"/>
              </w:rPr>
              <w:t xml:space="preserve">  1.项目设计图纸及相关资料；</w:t>
            </w:r>
          </w:p>
          <w:p>
            <w:pPr>
              <w:pStyle w:val="null3"/>
              <w:jc w:val="both"/>
            </w:pPr>
            <w:r>
              <w:rPr>
                <w:rFonts w:ascii="仿宋_GB2312" w:hAnsi="仿宋_GB2312" w:cs="仿宋_GB2312" w:eastAsia="仿宋_GB2312"/>
                <w:sz w:val="28"/>
              </w:rPr>
              <w:t xml:space="preserve">  2.</w:t>
            </w:r>
            <w:r>
              <w:rPr>
                <w:rFonts w:ascii="仿宋_GB2312" w:hAnsi="仿宋_GB2312" w:cs="仿宋_GB2312" w:eastAsia="仿宋_GB2312"/>
                <w:sz w:val="28"/>
              </w:rPr>
              <w:t>《陕西省房屋建筑与装饰工程消耗量定额（</w:t>
            </w:r>
            <w:r>
              <w:rPr>
                <w:rFonts w:ascii="仿宋_GB2312" w:hAnsi="仿宋_GB2312" w:cs="仿宋_GB2312" w:eastAsia="仿宋_GB2312"/>
                <w:sz w:val="28"/>
              </w:rPr>
              <w:t>2025）》《陕西省通用安装工程消耗量定额（2025）》及配套计价、计算标准（2025 版）；</w:t>
            </w:r>
          </w:p>
          <w:p>
            <w:pPr>
              <w:pStyle w:val="null3"/>
              <w:jc w:val="both"/>
            </w:pPr>
            <w:r>
              <w:rPr>
                <w:rFonts w:ascii="仿宋_GB2312" w:hAnsi="仿宋_GB2312" w:cs="仿宋_GB2312" w:eastAsia="仿宋_GB2312"/>
                <w:sz w:val="28"/>
              </w:rPr>
              <w:t xml:space="preserve">  3.陕建管发〔</w:t>
            </w:r>
            <w:r>
              <w:rPr>
                <w:rFonts w:ascii="仿宋_GB2312" w:hAnsi="仿宋_GB2312" w:cs="仿宋_GB2312" w:eastAsia="仿宋_GB2312"/>
                <w:sz w:val="28"/>
              </w:rPr>
              <w:t>2025〕10 号《陕西省住房和城乡建设厅关于印发 2025 年陕西省建设工程费用规则等计价依据的通知》；</w:t>
            </w:r>
          </w:p>
          <w:p>
            <w:pPr>
              <w:pStyle w:val="null3"/>
              <w:jc w:val="both"/>
            </w:pPr>
            <w:r>
              <w:rPr>
                <w:rFonts w:ascii="仿宋_GB2312" w:hAnsi="仿宋_GB2312" w:cs="仿宋_GB2312" w:eastAsia="仿宋_GB2312"/>
                <w:sz w:val="28"/>
              </w:rPr>
              <w:t xml:space="preserve">  4.《</w:t>
            </w:r>
            <w:r>
              <w:rPr>
                <w:rFonts w:ascii="仿宋_GB2312" w:hAnsi="仿宋_GB2312" w:cs="仿宋_GB2312" w:eastAsia="仿宋_GB2312"/>
                <w:sz w:val="28"/>
              </w:rPr>
              <w:t>2025年陕西省建设工程费用规则等计价依据的通知》；</w:t>
            </w:r>
          </w:p>
          <w:p>
            <w:pPr>
              <w:pStyle w:val="null3"/>
              <w:jc w:val="both"/>
            </w:pPr>
            <w:r>
              <w:rPr>
                <w:rFonts w:ascii="仿宋_GB2312" w:hAnsi="仿宋_GB2312" w:cs="仿宋_GB2312" w:eastAsia="仿宋_GB2312"/>
                <w:sz w:val="28"/>
              </w:rPr>
              <w:t xml:space="preserve">  5.主要材料价格以《渭南工程造价信息》</w:t>
            </w:r>
            <w:r>
              <w:rPr>
                <w:rFonts w:ascii="仿宋_GB2312" w:hAnsi="仿宋_GB2312" w:cs="仿宋_GB2312" w:eastAsia="仿宋_GB2312"/>
                <w:sz w:val="28"/>
              </w:rPr>
              <w:t>2026年第2期信息价为基准，结合限价编制当期市场价格综合取定。</w:t>
            </w:r>
          </w:p>
          <w:p>
            <w:pPr>
              <w:pStyle w:val="null3"/>
              <w:jc w:val="both"/>
            </w:pPr>
            <w:r>
              <w:rPr>
                <w:rFonts w:ascii="仿宋_GB2312" w:hAnsi="仿宋_GB2312" w:cs="仿宋_GB2312" w:eastAsia="仿宋_GB2312"/>
                <w:sz w:val="28"/>
              </w:rPr>
              <w:t xml:space="preserve">  6.现行专业工程施工质量验收规范、标准、图集及技术文件，同时结合常规施工组织设计与施工工艺要求。</w:t>
            </w:r>
          </w:p>
          <w:p>
            <w:pPr>
              <w:pStyle w:val="null3"/>
              <w:jc w:val="left"/>
            </w:pPr>
            <w:r>
              <w:rPr>
                <w:rFonts w:ascii="仿宋_GB2312" w:hAnsi="仿宋_GB2312" w:cs="仿宋_GB2312" w:eastAsia="仿宋_GB2312"/>
                <w:sz w:val="28"/>
                <w:b/>
              </w:rPr>
              <w:t>三、其他部分</w:t>
            </w:r>
          </w:p>
          <w:p>
            <w:pPr>
              <w:pStyle w:val="null3"/>
              <w:jc w:val="left"/>
            </w:pPr>
            <w:r>
              <w:rPr>
                <w:rFonts w:ascii="仿宋_GB2312" w:hAnsi="仿宋_GB2312" w:cs="仿宋_GB2312" w:eastAsia="仿宋_GB2312"/>
                <w:sz w:val="28"/>
              </w:rPr>
              <w:t xml:space="preserve">  1.该项目广联达版本为7.5000.23.2。</w:t>
            </w:r>
          </w:p>
          <w:p>
            <w:pPr>
              <w:pStyle w:val="null3"/>
            </w:pPr>
            <w:r>
              <w:rPr>
                <w:rFonts w:ascii="仿宋_GB2312" w:hAnsi="仿宋_GB2312" w:cs="仿宋_GB2312" w:eastAsia="仿宋_GB2312"/>
                <w:sz w:val="28"/>
                <w:b/>
              </w:rPr>
              <w:t>四、工程量清单详见附件</w:t>
            </w:r>
          </w:p>
          <w:p>
            <w:pPr>
              <w:pStyle w:val="null3"/>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标的名称：供暖管道维修项目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一、工程概况</w:t>
            </w:r>
          </w:p>
          <w:p>
            <w:pPr>
              <w:pStyle w:val="null3"/>
              <w:ind w:firstLine="560"/>
              <w:jc w:val="left"/>
            </w:pPr>
            <w:r>
              <w:rPr>
                <w:rFonts w:ascii="仿宋_GB2312" w:hAnsi="仿宋_GB2312" w:cs="仿宋_GB2312" w:eastAsia="仿宋_GB2312"/>
                <w:sz w:val="28"/>
              </w:rPr>
              <w:t>本项目建设规模及主要内容包括：办公楼室外、实验楼北、</w:t>
            </w:r>
            <w:r>
              <w:rPr>
                <w:rFonts w:ascii="仿宋_GB2312" w:hAnsi="仿宋_GB2312" w:cs="仿宋_GB2312" w:eastAsia="仿宋_GB2312"/>
                <w:sz w:val="28"/>
              </w:rPr>
              <w:t>4#5#公寓楼、室外农院与师院间大厅、艺术楼地沟、图书馆、通行主沟、中医实验南北楼、8#公寓楼、农学院楼、艺术楼、办公楼室内等多个地点供暖管道维修。</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jc w:val="both"/>
            </w:pPr>
            <w:r>
              <w:rPr>
                <w:rFonts w:ascii="仿宋_GB2312" w:hAnsi="仿宋_GB2312" w:cs="仿宋_GB2312" w:eastAsia="仿宋_GB2312"/>
                <w:sz w:val="28"/>
              </w:rPr>
              <w:t xml:space="preserve">  1.项目设计图纸及相关资料；</w:t>
            </w:r>
          </w:p>
          <w:p>
            <w:pPr>
              <w:pStyle w:val="null3"/>
              <w:jc w:val="both"/>
            </w:pPr>
            <w:r>
              <w:rPr>
                <w:rFonts w:ascii="仿宋_GB2312" w:hAnsi="仿宋_GB2312" w:cs="仿宋_GB2312" w:eastAsia="仿宋_GB2312"/>
                <w:sz w:val="28"/>
              </w:rPr>
              <w:t xml:space="preserve">  2.</w:t>
            </w:r>
            <w:r>
              <w:rPr>
                <w:rFonts w:ascii="仿宋_GB2312" w:hAnsi="仿宋_GB2312" w:cs="仿宋_GB2312" w:eastAsia="仿宋_GB2312"/>
                <w:sz w:val="28"/>
              </w:rPr>
              <w:t>《陕西省房屋建筑与装饰工程消耗量定额（</w:t>
            </w:r>
            <w:r>
              <w:rPr>
                <w:rFonts w:ascii="仿宋_GB2312" w:hAnsi="仿宋_GB2312" w:cs="仿宋_GB2312" w:eastAsia="仿宋_GB2312"/>
                <w:sz w:val="28"/>
              </w:rPr>
              <w:t>2025）》《陕西省通用安装工程消耗量定额（2025）》及配套计价、计算标准（2025 版）；</w:t>
            </w:r>
          </w:p>
          <w:p>
            <w:pPr>
              <w:pStyle w:val="null3"/>
              <w:jc w:val="both"/>
            </w:pPr>
            <w:r>
              <w:rPr>
                <w:rFonts w:ascii="仿宋_GB2312" w:hAnsi="仿宋_GB2312" w:cs="仿宋_GB2312" w:eastAsia="仿宋_GB2312"/>
                <w:sz w:val="28"/>
              </w:rPr>
              <w:t xml:space="preserve">  3.陕建管发〔</w:t>
            </w:r>
            <w:r>
              <w:rPr>
                <w:rFonts w:ascii="仿宋_GB2312" w:hAnsi="仿宋_GB2312" w:cs="仿宋_GB2312" w:eastAsia="仿宋_GB2312"/>
                <w:sz w:val="28"/>
              </w:rPr>
              <w:t>2025〕10 号《陕西省住房和城乡建设厅关于印发 2025 年陕西省建设工程费用规则等计价依据的通知》；</w:t>
            </w:r>
          </w:p>
          <w:p>
            <w:pPr>
              <w:pStyle w:val="null3"/>
              <w:jc w:val="both"/>
            </w:pPr>
            <w:r>
              <w:rPr>
                <w:rFonts w:ascii="仿宋_GB2312" w:hAnsi="仿宋_GB2312" w:cs="仿宋_GB2312" w:eastAsia="仿宋_GB2312"/>
                <w:sz w:val="28"/>
              </w:rPr>
              <w:t xml:space="preserve">  4.</w:t>
            </w:r>
            <w:r>
              <w:rPr>
                <w:rFonts w:ascii="仿宋_GB2312" w:hAnsi="仿宋_GB2312" w:cs="仿宋_GB2312" w:eastAsia="仿宋_GB2312"/>
                <w:sz w:val="28"/>
              </w:rPr>
              <w:t>《</w:t>
            </w:r>
            <w:r>
              <w:rPr>
                <w:rFonts w:ascii="仿宋_GB2312" w:hAnsi="仿宋_GB2312" w:cs="仿宋_GB2312" w:eastAsia="仿宋_GB2312"/>
                <w:sz w:val="28"/>
              </w:rPr>
              <w:t>2025年陕西省建设工程费用规则等计价依据的通知》；</w:t>
            </w:r>
          </w:p>
          <w:p>
            <w:pPr>
              <w:pStyle w:val="null3"/>
              <w:jc w:val="both"/>
            </w:pPr>
            <w:r>
              <w:rPr>
                <w:rFonts w:ascii="仿宋_GB2312" w:hAnsi="仿宋_GB2312" w:cs="仿宋_GB2312" w:eastAsia="仿宋_GB2312"/>
                <w:sz w:val="28"/>
              </w:rPr>
              <w:t xml:space="preserve">  5.主要材料价格以《渭南工程造价信息》</w:t>
            </w:r>
            <w:r>
              <w:rPr>
                <w:rFonts w:ascii="仿宋_GB2312" w:hAnsi="仿宋_GB2312" w:cs="仿宋_GB2312" w:eastAsia="仿宋_GB2312"/>
                <w:sz w:val="28"/>
              </w:rPr>
              <w:t>2026年第2期信息价为基准，结合限价编制当期市场价格综合取定。</w:t>
            </w:r>
          </w:p>
          <w:p>
            <w:pPr>
              <w:pStyle w:val="null3"/>
              <w:jc w:val="both"/>
            </w:pPr>
            <w:r>
              <w:rPr>
                <w:rFonts w:ascii="仿宋_GB2312" w:hAnsi="仿宋_GB2312" w:cs="仿宋_GB2312" w:eastAsia="仿宋_GB2312"/>
                <w:sz w:val="28"/>
              </w:rPr>
              <w:t xml:space="preserve">  6.</w:t>
            </w:r>
            <w:r>
              <w:rPr>
                <w:rFonts w:ascii="仿宋_GB2312" w:hAnsi="仿宋_GB2312" w:cs="仿宋_GB2312" w:eastAsia="仿宋_GB2312"/>
                <w:sz w:val="28"/>
              </w:rPr>
              <w:t>现行专业工程施工质量验收规范、标准、图集及技术文件，同时结合常规施工组织设计与施工工艺要求。</w:t>
            </w:r>
          </w:p>
          <w:p>
            <w:pPr>
              <w:pStyle w:val="null3"/>
              <w:jc w:val="left"/>
            </w:pPr>
            <w:r>
              <w:rPr>
                <w:rFonts w:ascii="仿宋_GB2312" w:hAnsi="仿宋_GB2312" w:cs="仿宋_GB2312" w:eastAsia="仿宋_GB2312"/>
                <w:sz w:val="28"/>
                <w:b/>
              </w:rPr>
              <w:t>三、其他部分</w:t>
            </w:r>
          </w:p>
          <w:p>
            <w:pPr>
              <w:pStyle w:val="null3"/>
              <w:ind w:firstLine="560"/>
            </w:pPr>
            <w:r>
              <w:rPr>
                <w:rFonts w:ascii="仿宋_GB2312" w:hAnsi="仿宋_GB2312" w:cs="仿宋_GB2312" w:eastAsia="仿宋_GB2312"/>
                <w:sz w:val="28"/>
              </w:rPr>
              <w:t>1．</w:t>
            </w:r>
            <w:r>
              <w:rPr>
                <w:rFonts w:ascii="仿宋_GB2312" w:hAnsi="仿宋_GB2312" w:cs="仿宋_GB2312" w:eastAsia="仿宋_GB2312"/>
                <w:sz w:val="28"/>
              </w:rPr>
              <w:t>该项目广联达版本为</w:t>
            </w:r>
            <w:r>
              <w:rPr>
                <w:rFonts w:ascii="仿宋_GB2312" w:hAnsi="仿宋_GB2312" w:cs="仿宋_GB2312" w:eastAsia="仿宋_GB2312"/>
                <w:sz w:val="28"/>
              </w:rPr>
              <w:t>7.5000.23.2。</w:t>
            </w:r>
          </w:p>
          <w:p>
            <w:pPr>
              <w:pStyle w:val="null3"/>
            </w:pPr>
            <w:r>
              <w:rPr>
                <w:rFonts w:ascii="仿宋_GB2312" w:hAnsi="仿宋_GB2312" w:cs="仿宋_GB2312" w:eastAsia="仿宋_GB2312"/>
                <w:sz w:val="28"/>
                <w:b/>
              </w:rPr>
              <w:t>四、工程量清单详见附件</w:t>
            </w:r>
          </w:p>
          <w:p>
            <w:pPr>
              <w:pStyle w:val="null3"/>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满足国家及行业现行技术规范标准，符合国家及行业验收合格标准。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满足采购需求及工程量清单。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合同包1：75日历天；合同包2：30日历天；2、工程地点：渭南职业技术学院高新校区和朝阳路校区；3、已标价工程量清单应按我省最新计划规范要求，在规定位置加盖供应商公章及供应商造价师加盖执业资格章并由造价师签字。（委托具有造价编制能力的咨询单位编制已标价工程量清单的，应按我省最新计价规范要求加盖造价编制单位公章，并且其编制单位造价人员或造价师加盖执业资格章及签字，同时已标价工程量清单封皮加盖投标单位公章，并附双方委托协议或委托书）。 4、成交供应商在结果公示结束后，需提供系统签章后的磋商响应文件，双面打印两套，封皮加盖单位鲜章，送至采购代理机构。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具有独立承担民事责任能力的法人，并出具合法有效的营业执照；2、提供供应商磋商截止时间前一年内任意一个月依法缴纳税收和社会保障资金的相关材料；3、具备履行合同所必需的设备和专业技术能力的证明材料：提供承诺书；4、提供参加政府采购活动前三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财务报告（含附表附注），（成立时间至开标时间不足一年的可提供成立后任意时段的资产负债表）或磋商前半年内至今基本账户银行出具的资信证明（附基本账户信息）{注：根据《陕西省财政厅关于启用会计师事务所审计报告“二维码”赋码查验功能的通知（陕财办会函〔2022〕55号）》，各供应商经审计的财务会计报告需赋加“注册会计师行业统一监管平台”二维码并且可查询，请各供应商自行登录网站检查赋码是否可正常查询（网址链接：（https://acc.mof.gov.cn/qrcapp/search.html?timestamp=1779271544869）}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具有独立承担民事责任能力的法人，并出具合法有效的营业执照；2、提供供应商磋商截止时间前一年内任意一个月依法缴纳税收和社会保障资金的相关材料；3、具备履行合同所必需的设备和专业技术能力的证明材料：提供承诺书；4、提供参加政府采购活动前三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财务报告（含附表附注），（成立时间至开标时间不足一年的可提供成立后任意时段的资产负债表）或磋商前半年内至今基本账户银行出具的资信证明（附基本账户信息）{注：根据《陕西省财政厅关于启用会计师事务所审计报告“二维码”赋码查验功能的通知（陕财办会函〔2022〕55号）》，各供应商经审计的财务会计报告需赋加“注册会计师行业统一监管平台”二维码并且可查询，请各供应商自行登录网站检查赋码是否可正常查询（网址链接：（https://acc.mof.gov.cn/qrcapp/search.html?timestamp=1779271544869）}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供应商需具有建设行政主管部门颁发的建筑工程施工总承包三级及以上资质，具有有效的国家建设行政主管部门颁发的安全生产许可证。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项目经理须具备建筑工程专业二级及以上建造师资格,具有有效的安全生产考核合格证书（建安B证），且未担任其他在建工程项目的项目经理声明。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供应商及项目经理备案情况</w:t>
            </w:r>
          </w:p>
        </w:tc>
        <w:tc>
          <w:tcPr>
            <w:tcW w:type="dxa" w:w="3322"/>
          </w:tcPr>
          <w:p>
            <w:pPr>
              <w:pStyle w:val="null3"/>
            </w:pPr>
            <w:r>
              <w:rPr>
                <w:rFonts w:ascii="仿宋_GB2312" w:hAnsi="仿宋_GB2312" w:cs="仿宋_GB2312" w:eastAsia="仿宋_GB2312"/>
              </w:rPr>
              <w:t>供应商及项目经理基本信息在“陕西省建筑市场监管与诚信信息发布平台”可查询。</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供应商需具有建设行政主管部门颁发的建筑工程施工总承包三级及以上资质，具有有效的国家建设行政主管部门颁发的安全生产许可证。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项目经理须具备建筑工程专业二级及以上建造师资格,具有有效的安全生产考核合格证书（建安B证），且未担任其他在建工程项目的项目经理声明。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供应商及项目经理备案情况</w:t>
            </w:r>
          </w:p>
        </w:tc>
        <w:tc>
          <w:tcPr>
            <w:tcW w:type="dxa" w:w="3322"/>
          </w:tcPr>
          <w:p>
            <w:pPr>
              <w:pStyle w:val="null3"/>
            </w:pPr>
            <w:r>
              <w:rPr>
                <w:rFonts w:ascii="仿宋_GB2312" w:hAnsi="仿宋_GB2312" w:cs="仿宋_GB2312" w:eastAsia="仿宋_GB2312"/>
              </w:rPr>
              <w:t>供应商及项目经理基本信息在“陕西省建筑市场监管与诚信信息发布平台”可查询</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供应商名称和公章、营业执照、资质证书的相关资料一致。</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符合磋商文件规定签署盖章要求。</w:t>
            </w:r>
          </w:p>
        </w:tc>
        <w:tc>
          <w:tcPr>
            <w:tcW w:type="dxa" w:w="1661"/>
          </w:tcPr>
          <w:p>
            <w:pPr>
              <w:pStyle w:val="null3"/>
            </w:pPr>
            <w:r>
              <w:rPr>
                <w:rFonts w:ascii="仿宋_GB2312" w:hAnsi="仿宋_GB2312" w:cs="仿宋_GB2312" w:eastAsia="仿宋_GB2312"/>
              </w:rPr>
              <w:t>响应文件封面 商务要求响应表.docx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75日历天。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商务要求响应表.docx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供应商名称和公章、营业执照、资质证书的相关资料一致。</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符合磋商文件规定签署盖章要求。</w:t>
            </w:r>
          </w:p>
        </w:tc>
        <w:tc>
          <w:tcPr>
            <w:tcW w:type="dxa" w:w="1661"/>
          </w:tcPr>
          <w:p>
            <w:pPr>
              <w:pStyle w:val="null3"/>
            </w:pPr>
            <w:r>
              <w:rPr>
                <w:rFonts w:ascii="仿宋_GB2312" w:hAnsi="仿宋_GB2312" w:cs="仿宋_GB2312" w:eastAsia="仿宋_GB2312"/>
              </w:rPr>
              <w:t>响应文件封面 商务要求响应表.docx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30日历天。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商务要求响应表.docx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施工部署方案</w:t>
            </w:r>
          </w:p>
        </w:tc>
        <w:tc>
          <w:tcPr>
            <w:tcW w:type="dxa" w:w="2492"/>
          </w:tcPr>
          <w:p>
            <w:pPr>
              <w:pStyle w:val="null3"/>
            </w:pPr>
            <w:r>
              <w:rPr>
                <w:rFonts w:ascii="仿宋_GB2312" w:hAnsi="仿宋_GB2312" w:cs="仿宋_GB2312" w:eastAsia="仿宋_GB2312"/>
              </w:rPr>
              <w:t>一、评审内容： 针对本项目提供具体可行的施工部署方案，包括但不限于：①施工目标：安全目标、工期目标、质量目标；②资源配备计划：主要施工设备、劳动力等配备计划及主材进场计划。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施工措施</w:t>
            </w:r>
          </w:p>
        </w:tc>
        <w:tc>
          <w:tcPr>
            <w:tcW w:type="dxa" w:w="2492"/>
          </w:tcPr>
          <w:p>
            <w:pPr>
              <w:pStyle w:val="null3"/>
            </w:pPr>
            <w:r>
              <w:rPr>
                <w:rFonts w:ascii="仿宋_GB2312" w:hAnsi="仿宋_GB2312" w:cs="仿宋_GB2312" w:eastAsia="仿宋_GB2312"/>
              </w:rPr>
              <w:t>一、评审内容： 针对本项目提供具体可行的施工措施，包括但不限于：①工程重难点及解决方案；②施工方法及工艺；③相关技术措施：施工质量通病防治措施、成品保护措施等；④应急措施：突发事件和安全事故等紧急情况的应急措施。 二、评审标准： 根据完整性：内容必须全面，对评审内容中的各项要求有详细描述；可实施性：切合本项目实际情况，提出清晰、合理的内容；针对性：内容能够紧扣项目实际情况，内容科学合理提供相应方案，以上4项，内容无缺项、无漏项且无缺陷的得6分，其中每有一项内容存在缺项或漏项的扣1.5分，每项内容中每有一处存在缺陷的扣0.5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一、评审内容： 针对本项目提供具体可行的施工进度，包括但不限于：①施工计划安排：施工进度目标和施工总进度计划表；②进度保障措施：工期保证措施、特殊情况（夜间、雨季、高低温等其它情况）保证。 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针对本项目提供具体可行的环境保护措施，包括但不限于：①环境保护管理体系；②环保控制措施：污染物及废弃物处理的排放、噪音控制、防尘及扬尘的控制措施。 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一、评审内容： 针对本项目提供具体可行的质量保证管理体系及相关措施，包括但不限于：①质量管理目标；②施工质量保障措施。 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一、评审内容： 针对本项目提供具体可行的安全管理体系与相关措施，包括但不限于：①安全管理体系：安全制度、安全责任划分，标识及安全装备配备、安全教育培训等；②文明施工：施工现场管理、材料及机具堆放、检查措施。 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一、评审内容： 针对本项目提供具体可行的保修承诺，包括但不限于：①保修措施及承诺：工程维修服务承诺、保修措施和响应时限；②应急维护：紧急情况抢修，发生质量问题后的补救措施。 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4分，其中每有一项内容存在缺项或漏项的扣2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人员配备：拟投入的项目管理机构人员结构合理、岗位职责明确，除项目经理外，项目管理机构配备（五大员）得10分，每少1人扣2分，扣完为止。在此基础上每增加一个角色人员加1分，最高加2分。本项最高得12分。 注：须提供人员相关证件，不提供得0分。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供应商提供2023年7月1日至今具有类似项目业绩；响应文件中需附合同复印件并加盖公章，以合同签订时间为准。每提供1个得2分，满分8分。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1.满足磋商文件实质性要求且最终报价最低的供应商的价格为磋商基准价，其价格分为满分40分。 2.磋商报价得分=（磋商基准价/最终磋商报价）×40的公式计算得分。 3.磋商报价不完整的，不进入评标标准价的计算，本项得0分。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施工部署方案</w:t>
            </w:r>
          </w:p>
        </w:tc>
        <w:tc>
          <w:tcPr>
            <w:tcW w:type="dxa" w:w="2492"/>
          </w:tcPr>
          <w:p>
            <w:pPr>
              <w:pStyle w:val="null3"/>
            </w:pPr>
            <w:r>
              <w:rPr>
                <w:rFonts w:ascii="仿宋_GB2312" w:hAnsi="仿宋_GB2312" w:cs="仿宋_GB2312" w:eastAsia="仿宋_GB2312"/>
              </w:rPr>
              <w:t>一、评审内容： 针对本项目提供具体可行的施工部署方案，包括但不限于：①施工目标：安全目标、工期目标、质量目标；②资源配备计划：主要施工设备、劳动力等配备计划及主材进场计划。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施工措施</w:t>
            </w:r>
          </w:p>
        </w:tc>
        <w:tc>
          <w:tcPr>
            <w:tcW w:type="dxa" w:w="2492"/>
          </w:tcPr>
          <w:p>
            <w:pPr>
              <w:pStyle w:val="null3"/>
            </w:pPr>
            <w:r>
              <w:rPr>
                <w:rFonts w:ascii="仿宋_GB2312" w:hAnsi="仿宋_GB2312" w:cs="仿宋_GB2312" w:eastAsia="仿宋_GB2312"/>
              </w:rPr>
              <w:t>一、评审内容： 针对本项目提供具体可行的施工措施，包括但不限于：①工程重难点及解决方案；②施工方法及工艺；③相关技术措施：施工质量通病防治措施、成品保护措施等；④应急措施：突发事件和安全事故等紧急情况的应急措施。 二、评审标准： 根据完整性：内容必须全面，对评审内容中的各项要求有详细描述；可实施性：切合本项目实际情况，提出清晰、合理的内容；针对性：内容能够紧扣项目实际情况，内容科学合理提供相应方案，以上4项，内容无缺项、无漏项且无缺陷的得6分，其中每有一项内容存在缺项或漏项的扣1.5分，每项内容中每有一处存在缺陷的扣0.5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一、评审内容： 针对本项目提供具体可行的施工进度，包括但不限于：①施工计划安排：施工进度目标和施工总进度计划表；②进度保障措施：工期保证措施、特殊情况（夜间、雨季、高低温等其它情况）保证。 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针对本项目提供具体可行的环境保护措施，包括但不限于：①环境保护管理体系；②环保控制措施：污染物及废弃物处理的排放、噪音控制、防尘及扬尘的控制措施。 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一、评审内容： 针对本项目提供具体可行的质量保证管理体系及相关措施，包括但不限于：①质量管理目标；②施工质量保障措施。 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一、评审内容： 针对本项目提供具体可行的安全管理体系与相关措施，包括但不限于：①安全管理体系：安全制度、安全责任划分，标识及安全装备配备、安全教育培训等；②文明施工：施工现场管理、材料及机具堆放、检查措施。 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一、评审内容： 针对本项目提供具体可行的保修承诺，包括但不限于：①保修措施及承诺：工程维修服务承诺、保修措施和响应时限；②应急维护：紧急情况抢修，发生质量问题后的补救措施。 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4分，其中每有一项内容存在缺项或漏项的扣2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人员配备：拟投入的项目管理机构人员结构合理、岗位职责明确，除项目经理外，项目管理机构配备（五大员）得10分，每少1人扣2分，扣完为止。在此基础上每增加一个角色人员加1分，最高加2分。本项最高得12分。 注：须提供人员相关证件，不提供得0分。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供应商提供2023年7月1日至今具有类似项目业绩；响应文件中需附合同复印件并加盖公章，以合同签订时间为准。每提供1个得2分，满分8分。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1.满足磋商文件实质性要求且最终报价最低的供应商的价格为磋商基准价，其价格分为满分40分。 2.磋商报价得分=（磋商基准价/最终磋商报价）×40的公式计算得分。 3.磋商报价不完整的，不进入评标标准价的计算，本项得0分。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详见附件：企业业绩.docx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