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陕西省国土空间勘测规划院基于主体功能区战略的陕西省能源资源富集区与历史文化资源富集区空间布局划定与制度体系构建项目招标公告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基于主体功能区战略的陕西省能源资源富集区与历史文化资源富集区空间布局划定与制度体系构建项目</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2026年10月14日 09时00分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项目编号：XAJG（ZFCG）-20260624</w:t>
      </w:r>
    </w:p>
    <w:p>
      <w:pPr>
        <w:pStyle w:val="null3"/>
      </w:pPr>
      <w:r>
        <w:rPr>
          <w:rFonts w:ascii="仿宋_GB2312" w:hAnsi="仿宋_GB2312" w:cs="仿宋_GB2312" w:eastAsia="仿宋_GB2312"/>
        </w:rPr>
        <w:t>项目名称：基于主体功能区战略的陕西省能源资源富集区与历史文化资源富集区空间布局划定与制度体系构建项目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预算金额：4,000,000.00元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采购包1：投标人在合同签订后至2026年12月20日内完成所有招标文件要求工作，并通过项目验收。</w:t>
      </w:r>
    </w:p>
    <w:p>
      <w:pPr>
        <w:pStyle w:val="null3"/>
      </w:pPr>
      <w:r>
        <w:rPr>
          <w:rFonts w:ascii="仿宋_GB2312" w:hAnsi="仿宋_GB2312" w:cs="仿宋_GB2312" w:eastAsia="仿宋_GB2312"/>
        </w:rPr>
        <w:t>采购包2：投标人在合同签订后至2026年12月20日内完成所有招标文件要求工作，并通过项目验收。</w:t>
      </w:r>
    </w:p>
    <w:p>
      <w:pPr>
        <w:pStyle w:val="null3"/>
      </w:pPr>
      <w:r>
        <w:rPr>
          <w:rFonts w:ascii="仿宋_GB2312" w:hAnsi="仿宋_GB2312" w:cs="仿宋_GB2312" w:eastAsia="仿宋_GB2312"/>
        </w:rPr>
        <w:t>采购包3：投标人在合同签订后至2026年12月20日内完成所有招标文件要求工作，并通过项目验收。</w:t>
      </w:r>
    </w:p>
    <w:p>
      <w:pPr>
        <w:pStyle w:val="null3"/>
      </w:pPr>
      <w:r>
        <w:rPr>
          <w:rFonts w:ascii="仿宋_GB2312" w:hAnsi="仿宋_GB2312" w:cs="仿宋_GB2312" w:eastAsia="仿宋_GB2312"/>
        </w:rPr>
        <w:t>采购包4：投标人在合同签订后至2026年12月20日内完成所有招标文件要求工作，并通过项目验收。</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pPr>
      <w:r>
        <w:rPr>
          <w:rFonts w:ascii="仿宋_GB2312" w:hAnsi="仿宋_GB2312" w:cs="仿宋_GB2312" w:eastAsia="仿宋_GB2312"/>
        </w:rPr>
        <w:t>采购包3：不接受联合体投标</w:t>
      </w:r>
    </w:p>
    <w:p>
      <w:pPr>
        <w:pStyle w:val="null3"/>
      </w:pPr>
      <w:r>
        <w:rPr>
          <w:rFonts w:ascii="仿宋_GB2312" w:hAnsi="仿宋_GB2312" w:cs="仿宋_GB2312" w:eastAsia="仿宋_GB2312"/>
        </w:rPr>
        <w:t>采购包4：不接受联合体投标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合同包1(陕西省主体功能区战略优化与历史文化富集区管控体系构建研究)特定资格要求如下: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(3)提交投标文件截止时间前一年内至少一个月的纳税证明或完税证明（任意税种），纳税证明或完税证明上应有代收机构或税务机关的公章或业务专用章。（依法免税的供应商应提供相应文件证明）。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(7)法定代表人（主要负责人）委托代理人参加投标时，应提供法定代表人（主要负责人）委托授权书；法定代表人（主要负责人）亲自参加投标时，应提供法定代表人（主要负责人）身份证明书</w:t>
      </w:r>
    </w:p>
    <w:p>
      <w:pPr>
        <w:pStyle w:val="null3"/>
      </w:pPr>
      <w:r>
        <w:rPr>
          <w:rFonts w:ascii="仿宋_GB2312" w:hAnsi="仿宋_GB2312" w:cs="仿宋_GB2312" w:eastAsia="仿宋_GB2312"/>
        </w:rPr>
        <w:t>(8)单位负责人为同一人或者存在控股、管理关系的不同单位，不得参加同一招标项目投标。</w:t>
      </w:r>
    </w:p>
    <w:p>
      <w:pPr>
        <w:pStyle w:val="null3"/>
      </w:pPr>
      <w:r>
        <w:rPr>
          <w:rFonts w:ascii="仿宋_GB2312" w:hAnsi="仿宋_GB2312" w:cs="仿宋_GB2312" w:eastAsia="仿宋_GB2312"/>
        </w:rPr>
        <w:t>(9)投标人不得为“信用中国”网站（www.creditchina.gov.cn）严重失信主体和重大税收违法失信主体的供应商，不得为中国政府采购网（www.ccgp.gov.cn）政府采购严重违法失信行为记录名单中被财政部门禁止参加政府采购活动的的供应商。（供应商无须提供，投标现场查询）。</w:t>
      </w:r>
    </w:p>
    <w:p>
      <w:pPr>
        <w:pStyle w:val="null3"/>
      </w:pPr>
      <w:r>
        <w:rPr>
          <w:rFonts w:ascii="仿宋_GB2312" w:hAnsi="仿宋_GB2312" w:cs="仿宋_GB2312" w:eastAsia="仿宋_GB2312"/>
        </w:rPr>
        <w:t>(10)本项目不接受联合体，提供非联合体声明。</w:t>
      </w:r>
    </w:p>
    <w:p>
      <w:pPr>
        <w:pStyle w:val="null3"/>
      </w:pPr>
      <w:r>
        <w:rPr>
          <w:rFonts w:ascii="仿宋_GB2312" w:hAnsi="仿宋_GB2312" w:cs="仿宋_GB2312" w:eastAsia="仿宋_GB2312"/>
        </w:rPr>
        <w:t>合同包2(陕西省能源资源富集区空间划定与开发准入协同管控研究)特定资格要求如下: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(3)提交投标文件截止时间前一年内至少一个月的纳税证明或完税证明（任意税种），纳税证明或完税证明上应有代收机构或税务机关的公章或业务专用章。（依法免税的供应商应提供相应文件证明）。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(7)法定代表人（主要负责人）委托代理人参加投标时，应提供法定代表人（主要负责人）委托授权书；法定代表人（主要负责人）亲自参加投标时，应提供法定代表人（主要负责人）身份证明书</w:t>
      </w:r>
    </w:p>
    <w:p>
      <w:pPr>
        <w:pStyle w:val="null3"/>
      </w:pPr>
      <w:r>
        <w:rPr>
          <w:rFonts w:ascii="仿宋_GB2312" w:hAnsi="仿宋_GB2312" w:cs="仿宋_GB2312" w:eastAsia="仿宋_GB2312"/>
        </w:rPr>
        <w:t>(8)单位负责人为同一人或者存在控股、管理关系的不同单位，不得参加同一招标项目投标。</w:t>
      </w:r>
    </w:p>
    <w:p>
      <w:pPr>
        <w:pStyle w:val="null3"/>
      </w:pPr>
      <w:r>
        <w:rPr>
          <w:rFonts w:ascii="仿宋_GB2312" w:hAnsi="仿宋_GB2312" w:cs="仿宋_GB2312" w:eastAsia="仿宋_GB2312"/>
        </w:rPr>
        <w:t>(9)投标人不得为“信用中国”网站（www.creditchina.gov.cn）严重失信主体和重大税收违法失信主体的供应商，不得为中国政府采购网（www.ccgp.gov.cn）政府采购严重违法失信行为记录名单中被财政部门禁止参加政府采购活动的的供应商。（供应商无须提供，投标现场查询）。</w:t>
      </w:r>
    </w:p>
    <w:p>
      <w:pPr>
        <w:pStyle w:val="null3"/>
      </w:pPr>
      <w:r>
        <w:rPr>
          <w:rFonts w:ascii="仿宋_GB2312" w:hAnsi="仿宋_GB2312" w:cs="仿宋_GB2312" w:eastAsia="仿宋_GB2312"/>
        </w:rPr>
        <w:t>(10)本项目不接受联合体，提供非联合体声明。</w:t>
      </w:r>
    </w:p>
    <w:p>
      <w:pPr>
        <w:pStyle w:val="null3"/>
      </w:pPr>
      <w:r>
        <w:rPr>
          <w:rFonts w:ascii="仿宋_GB2312" w:hAnsi="仿宋_GB2312" w:cs="仿宋_GB2312" w:eastAsia="仿宋_GB2312"/>
        </w:rPr>
        <w:t>合同包3(陕西省历史文化资源富集区国家试点支撑研究)特定资格要求如下: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(3)提交投标文件截止时间前一年内至少一个月的纳税证明或完税证明（任意税种），纳税证明或完税证明上应有代收机构或税务机关的公章或业务专用章。（依法免税的供应商应提供相应文件证明）。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(7)法定代表人（主要负责人）委托代理人参加投标时，应提供法定代表人（主要负责人）委托授权书；法定代表人（主要负责人）亲自参加投标时，应提供法定代表人（主要负责人）身份证明书</w:t>
      </w:r>
    </w:p>
    <w:p>
      <w:pPr>
        <w:pStyle w:val="null3"/>
      </w:pPr>
      <w:r>
        <w:rPr>
          <w:rFonts w:ascii="仿宋_GB2312" w:hAnsi="仿宋_GB2312" w:cs="仿宋_GB2312" w:eastAsia="仿宋_GB2312"/>
        </w:rPr>
        <w:t>(8)单位负责人为同一人或者存在控股、管理关系的不同单位，不得参加同一招标项目投标。</w:t>
      </w:r>
    </w:p>
    <w:p>
      <w:pPr>
        <w:pStyle w:val="null3"/>
      </w:pPr>
      <w:r>
        <w:rPr>
          <w:rFonts w:ascii="仿宋_GB2312" w:hAnsi="仿宋_GB2312" w:cs="仿宋_GB2312" w:eastAsia="仿宋_GB2312"/>
        </w:rPr>
        <w:t>(9)投标人不得为“信用中国”网站（www.creditchina.gov.cn）严重失信主体和重大税收违法失信主体的供应商，不得为中国政府采购网（www.ccgp.gov.cn）政府采购严重违法失信行为记录名单中被财政部门禁止参加政府采购活动的的供应商。（供应商无须提供，投标现场查询）。</w:t>
      </w:r>
    </w:p>
    <w:p>
      <w:pPr>
        <w:pStyle w:val="null3"/>
      </w:pPr>
      <w:r>
        <w:rPr>
          <w:rFonts w:ascii="仿宋_GB2312" w:hAnsi="仿宋_GB2312" w:cs="仿宋_GB2312" w:eastAsia="仿宋_GB2312"/>
        </w:rPr>
        <w:t>(10)本项目不接受联合体，提供非联合体声明。</w:t>
      </w:r>
    </w:p>
    <w:p>
      <w:pPr>
        <w:pStyle w:val="null3"/>
      </w:pPr>
      <w:r>
        <w:rPr>
          <w:rFonts w:ascii="仿宋_GB2312" w:hAnsi="仿宋_GB2312" w:cs="仿宋_GB2312" w:eastAsia="仿宋_GB2312"/>
        </w:rPr>
        <w:t>合同包4(陕西省能源资源富集区国家试点支撑研究)特定资格要求如下:</w:t>
      </w:r>
    </w:p>
    <w:p>
      <w:pPr>
        <w:pStyle w:val="null3"/>
      </w:pPr>
      <w:r>
        <w:rPr>
          <w:rFonts w:ascii="仿宋_GB2312" w:hAnsi="仿宋_GB2312" w:cs="仿宋_GB2312" w:eastAsia="仿宋_GB2312"/>
        </w:rPr>
        <w:t>(1)在中华人民共和国境内注册，依法取得并有效存续的营业执照（含电子营业执照）\事业单位法人证书\民办非企业单位登记证书\非企业专业服务机构执业许可证等。</w:t>
      </w:r>
    </w:p>
    <w:p>
      <w:pPr>
        <w:pStyle w:val="null3"/>
      </w:pPr>
      <w:r>
        <w:rPr>
          <w:rFonts w:ascii="仿宋_GB2312" w:hAnsi="仿宋_GB2312" w:cs="仿宋_GB2312" w:eastAsia="仿宋_GB2312"/>
        </w:rPr>
        <w:t>(2)2025年度经审计的财务会计报告（至少包括审计报告、资产负债表、现金流量表和利润表，成立时间至提交投标文件截止时间不足一年的可提供成立后任意时段的资产负债表）审计报告须具有注册会计师行业统一监管平台（http://acc.mof.gov.cn）赋予的验证码；或提交投标文件截止时间前三个月内其基本账户开户银行出具的资信证明(附基本存款账户信息）或信用担保机构出具的投标担保函（以上三种形式的资料提供任何一种即可）。</w:t>
      </w:r>
    </w:p>
    <w:p>
      <w:pPr>
        <w:pStyle w:val="null3"/>
      </w:pPr>
      <w:r>
        <w:rPr>
          <w:rFonts w:ascii="仿宋_GB2312" w:hAnsi="仿宋_GB2312" w:cs="仿宋_GB2312" w:eastAsia="仿宋_GB2312"/>
        </w:rPr>
        <w:t>(3)提交投标文件截止时间前一年内至少一个月的纳税证明或完税证明（任意税种），纳税证明或完税证明上应有代收机构或税务机关的公章或业务专用章。（依法免税的供应商应提供相应文件证明）。</w:t>
      </w:r>
    </w:p>
    <w:p>
      <w:pPr>
        <w:pStyle w:val="null3"/>
      </w:pPr>
      <w:r>
        <w:rPr>
          <w:rFonts w:ascii="仿宋_GB2312" w:hAnsi="仿宋_GB2312" w:cs="仿宋_GB2312" w:eastAsia="仿宋_GB2312"/>
        </w:rPr>
        <w:t>(4)提交投标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pPr>
        <w:pStyle w:val="null3"/>
      </w:pPr>
      <w:r>
        <w:rPr>
          <w:rFonts w:ascii="仿宋_GB2312" w:hAnsi="仿宋_GB2312" w:cs="仿宋_GB2312" w:eastAsia="仿宋_GB2312"/>
        </w:rPr>
        <w:t>(5)供应商参加采购活动前3年内在经营活动中没有重大违法记录：参加采购活动前3年内在经营活动中没有重大违法记录；并提供书面声明</w:t>
      </w:r>
    </w:p>
    <w:p>
      <w:pPr>
        <w:pStyle w:val="null3"/>
      </w:pPr>
      <w:r>
        <w:rPr>
          <w:rFonts w:ascii="仿宋_GB2312" w:hAnsi="仿宋_GB2312" w:cs="仿宋_GB2312" w:eastAsia="仿宋_GB2312"/>
        </w:rPr>
        <w:t>(6)供应商提供具有履行本合同所必需的设备和专业技术能力的承诺函</w:t>
      </w:r>
    </w:p>
    <w:p>
      <w:pPr>
        <w:pStyle w:val="null3"/>
      </w:pPr>
      <w:r>
        <w:rPr>
          <w:rFonts w:ascii="仿宋_GB2312" w:hAnsi="仿宋_GB2312" w:cs="仿宋_GB2312" w:eastAsia="仿宋_GB2312"/>
        </w:rPr>
        <w:t>(7)法定代表人（主要负责人）委托代理人参加投标时，应提供法定代表人（主要负责人）委托授权书；法定代表人（主要负责人）亲自参加投标时，应提供法定代表人（主要负责人）身份证明书</w:t>
      </w:r>
    </w:p>
    <w:p>
      <w:pPr>
        <w:pStyle w:val="null3"/>
      </w:pPr>
      <w:r>
        <w:rPr>
          <w:rFonts w:ascii="仿宋_GB2312" w:hAnsi="仿宋_GB2312" w:cs="仿宋_GB2312" w:eastAsia="仿宋_GB2312"/>
        </w:rPr>
        <w:t>(8)单位负责人为同一人或者存在控股、管理关系的不同单位，不得参加同一招标项目投标。</w:t>
      </w:r>
    </w:p>
    <w:p>
      <w:pPr>
        <w:pStyle w:val="null3"/>
      </w:pPr>
      <w:r>
        <w:rPr>
          <w:rFonts w:ascii="仿宋_GB2312" w:hAnsi="仿宋_GB2312" w:cs="仿宋_GB2312" w:eastAsia="仿宋_GB2312"/>
        </w:rPr>
        <w:t>(9)投标人不得为“信用中国”网站（www.creditchina.gov.cn）严重失信主体和重大税收违法失信主体的供应商，不得为中国政府采购网（www.ccgp.gov.cn）政府采购严重违法失信行为记录名单中被财政部门禁止参加政府采购活动的的供应商。（供应商无须提供，投标现场查询）。</w:t>
      </w:r>
    </w:p>
    <w:p>
      <w:pPr>
        <w:pStyle w:val="null3"/>
      </w:pPr>
      <w:r>
        <w:rPr>
          <w:rFonts w:ascii="仿宋_GB2312" w:hAnsi="仿宋_GB2312" w:cs="仿宋_GB2312" w:eastAsia="仿宋_GB2312"/>
        </w:rPr>
        <w:t>(10)本项目不接受联合体，提供非联合体声明。</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2026年09月22日 </w:t>
      </w:r>
      <w:r>
        <w:rPr>
          <w:rFonts w:ascii="仿宋_GB2312" w:hAnsi="仿宋_GB2312" w:cs="仿宋_GB2312" w:eastAsia="仿宋_GB2312"/>
        </w:rPr>
        <w:t>至</w:t>
      </w:r>
      <w:r>
        <w:rPr>
          <w:rFonts w:ascii="仿宋_GB2312" w:hAnsi="仿宋_GB2312" w:cs="仿宋_GB2312" w:eastAsia="仿宋_GB2312"/>
        </w:rPr>
        <w:t xml:space="preserve"> 2026年09月30日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2026年10月14日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（4）《国务院办公厅关于建立政府强制采购节能产品制度的通知》（国办发〔2007〕51号）；</w:t>
      </w:r>
    </w:p>
    <w:p>
      <w:pPr>
        <w:pStyle w:val="null3"/>
      </w:pPr>
      <w:r>
        <w:rPr>
          <w:rFonts w:ascii="仿宋_GB2312" w:hAnsi="仿宋_GB2312" w:cs="仿宋_GB2312" w:eastAsia="仿宋_GB2312"/>
        </w:rPr>
        <w:t>（5）财政部发展改革委生态环境部市场监管总局关于调整优化节能产品、环境标志产品政府采购执行机制的通知（财库[2019]9号）；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（6）《关于印发环境标志产品政府采购品目清单的通知》--（财库〔2019〕18号）；</w:t>
      </w:r>
    </w:p>
    <w:p>
      <w:pPr>
        <w:pStyle w:val="null3"/>
      </w:pPr>
      <w:r>
        <w:rPr>
          <w:rFonts w:ascii="仿宋_GB2312" w:hAnsi="仿宋_GB2312" w:cs="仿宋_GB2312" w:eastAsia="仿宋_GB2312"/>
        </w:rPr>
        <w:t>（7）《关于印发节能产品政府采购品目清单的通知》--（财库〔2019〕19号）；</w:t>
      </w:r>
    </w:p>
    <w:p>
      <w:pPr>
        <w:pStyle w:val="null3"/>
      </w:pPr>
      <w:r>
        <w:rPr>
          <w:rFonts w:ascii="仿宋_GB2312" w:hAnsi="仿宋_GB2312" w:cs="仿宋_GB2312" w:eastAsia="仿宋_GB2312"/>
        </w:rPr>
        <w:t>（8）《关于运用政府采购政策支持乡村产业振兴的通知》（财库〔2021〕19号）；</w:t>
      </w:r>
    </w:p>
    <w:p>
      <w:pPr>
        <w:pStyle w:val="null3"/>
      </w:pPr>
      <w:r>
        <w:rPr>
          <w:rFonts w:ascii="仿宋_GB2312" w:hAnsi="仿宋_GB2312" w:cs="仿宋_GB2312" w:eastAsia="仿宋_GB2312"/>
        </w:rPr>
        <w:t>（9）陕西省财政厅关于印发《陕西省中小企业政府采购信用融资办法》（陕财办采〔2018〕23号），相关政策、业务流程、办理平台（详见http://www.ccgp-shaanxi.gov.cn/zcdservice/zcd/shanxi/）；</w:t>
      </w:r>
    </w:p>
    <w:p>
      <w:pPr>
        <w:pStyle w:val="null3"/>
      </w:pPr>
      <w:r>
        <w:rPr>
          <w:rFonts w:ascii="仿宋_GB2312" w:hAnsi="仿宋_GB2312" w:cs="仿宋_GB2312" w:eastAsia="仿宋_GB2312"/>
        </w:rPr>
        <w:t>（10）《陕西省财政厅关于加快推进我省中小企业政府采购信用融资工作的通知》（陕财办采〔2020〕15号）；</w:t>
      </w:r>
    </w:p>
    <w:p>
      <w:pPr>
        <w:pStyle w:val="null3"/>
      </w:pPr>
      <w:r>
        <w:rPr>
          <w:rFonts w:ascii="仿宋_GB2312" w:hAnsi="仿宋_GB2312" w:cs="仿宋_GB2312" w:eastAsia="仿宋_GB2312"/>
        </w:rPr>
        <w:t>（11）《关于进一步加强政府绿色采购有关问题的通知》（陕财办采〔2021〕29号）；</w:t>
      </w:r>
    </w:p>
    <w:p>
      <w:pPr>
        <w:pStyle w:val="null3"/>
      </w:pPr>
      <w:r>
        <w:rPr>
          <w:rFonts w:ascii="仿宋_GB2312" w:hAnsi="仿宋_GB2312" w:cs="仿宋_GB2312" w:eastAsia="仿宋_GB2312"/>
        </w:rPr>
        <w:t>（12）《陕西省财政厅陕西省工业和信息化厅关于运用政府采购政策支持创新产品有关事项的通知》（陕财办采﹝2021﹞17号）；</w:t>
      </w:r>
    </w:p>
    <w:p>
      <w:pPr>
        <w:pStyle w:val="null3"/>
      </w:pPr>
      <w:r>
        <w:rPr>
          <w:rFonts w:ascii="仿宋_GB2312" w:hAnsi="仿宋_GB2312" w:cs="仿宋_GB2312" w:eastAsia="仿宋_GB2312"/>
        </w:rPr>
        <w:t>（13）《关于进一步加大政府采购支持中小企业力度的通知》（财库〔2022〕19号）、《关于落实政府采购支持中小企业政策有关事项的通知》（陕财办采函〔2022〕10号）；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（14）其他需要落实的政府采购政策，有新政策按最新政策执行。</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陕西省国土空间勘测规划院</w:t>
      </w:r>
    </w:p>
    <w:p>
      <w:pPr>
        <w:pStyle w:val="null3"/>
      </w:pPr>
      <w:r>
        <w:rPr>
          <w:rFonts w:ascii="仿宋_GB2312" w:hAnsi="仿宋_GB2312" w:cs="仿宋_GB2312" w:eastAsia="仿宋_GB2312"/>
        </w:rPr>
        <w:t>地址：</w:t>
      </w:r>
      <w:r>
        <w:rPr>
          <w:rFonts w:ascii="仿宋_GB2312" w:hAnsi="仿宋_GB2312" w:cs="仿宋_GB2312" w:eastAsia="仿宋_GB2312"/>
        </w:rPr>
        <w:t>西安市雁塔北路100号</w:t>
      </w:r>
    </w:p>
    <w:p>
      <w:pPr>
        <w:pStyle w:val="null3"/>
      </w:pPr>
      <w:r>
        <w:rPr>
          <w:rFonts w:ascii="仿宋_GB2312" w:hAnsi="仿宋_GB2312" w:cs="仿宋_GB2312" w:eastAsia="仿宋_GB2312"/>
        </w:rPr>
        <w:t>联系方式：</w:t>
      </w:r>
      <w:r>
        <w:rPr>
          <w:rFonts w:ascii="仿宋_GB2312" w:hAnsi="仿宋_GB2312" w:cs="仿宋_GB2312" w:eastAsia="仿宋_GB2312"/>
        </w:rPr>
        <w:t>029-87851456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 xml:space="preserve"> 西安市碑林区小东门外炮房街48号盈栋大厦6楼</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牛超、顾扬</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