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版本号：SXBRT2026-DL-01920260813004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重点区域专项治理项目（环卫保洁车辆购置）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SXBRT2026-DL-019</w:t>
      </w:r>
      <w:r>
        <w:br/>
      </w:r>
      <w:r>
        <w:br/>
      </w:r>
      <w:r>
        <w:br/>
      </w:r>
    </w:p>
    <w:p>
      <w:pPr>
        <w:pStyle w:val="null3"/>
        <w:jc w:val="center"/>
        <w:outlineLvl w:val="2"/>
      </w:pPr>
      <w:r>
        <w:rPr>
          <w:rFonts w:ascii="仿宋_GB2312" w:hAnsi="仿宋_GB2312" w:cs="仿宋_GB2312" w:eastAsia="仿宋_GB2312"/>
          <w:sz w:val="28"/>
          <w:b/>
        </w:rPr>
        <w:t>西安市鄠邑区环境卫生管理所</w:t>
      </w:r>
    </w:p>
    <w:p>
      <w:pPr>
        <w:pStyle w:val="null3"/>
        <w:jc w:val="center"/>
        <w:outlineLvl w:val="2"/>
      </w:pPr>
      <w:r>
        <w:rPr>
          <w:rFonts w:ascii="仿宋_GB2312" w:hAnsi="仿宋_GB2312" w:cs="仿宋_GB2312" w:eastAsia="仿宋_GB2312"/>
          <w:sz w:val="28"/>
          <w:b/>
        </w:rPr>
        <w:t>陕西博锐特项目管理有限公司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陕西博锐特项目管理有限公司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西安市鄠邑区环境卫生管理所</w:t>
      </w:r>
      <w:r>
        <w:rPr>
          <w:rFonts w:ascii="仿宋_GB2312" w:hAnsi="仿宋_GB2312" w:cs="仿宋_GB2312" w:eastAsia="仿宋_GB2312"/>
        </w:rPr>
        <w:t>委托，拟对</w:t>
      </w:r>
      <w:r>
        <w:rPr>
          <w:rFonts w:ascii="仿宋_GB2312" w:hAnsi="仿宋_GB2312" w:cs="仿宋_GB2312" w:eastAsia="仿宋_GB2312"/>
        </w:rPr>
        <w:t>重点区域专项治理项目（环卫保洁车辆购置）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SXBRT2026-DL-019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重点区域专项治理项目（环卫保洁车辆购置）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重点区域专项治理项目（环卫保洁车辆购置），1项，预算金额：4,800,000.00元，项目概况：对城区道路进行全面洗扫冲洗清扫保洁，进一步提升道路扬尘治理问题，确保城区环卫洗扫冲洗清扫工作的有效开展。现购置12辆环卫专用车辆（18吨纯电动洗扫车2辆、18吨纯电动洒水车1辆、四轮电动冲洗车9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采购包1（重点区域专项治理项目（环卫保洁车辆购置））：属于专门面向中小企业采购。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3、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西安市鄠邑区环境卫生管理所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西安市鄠邑区渼陂东路3483号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王建党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029-84813304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陕西博锐特项目管理有限公司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陕西省西安市雁塔区科技六路高新时代广场B座10楼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梁佩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029-65610807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颁发的《关于招标代理服务收费有关问题的通知》（发改办价格〔2003〕857号）规定的标准执行，具体金额将在结果公告中公布。 招标代理服务收款账户信息： 银行户名：陕西博锐特项目管理有限公司 开户银行：招商银行陕西自贸试验区西安高新科技支行 账号：129907685610101 联系人：梁佩 联系电话：029-65610807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西安市鄠邑区环境卫生管理所</w:t>
      </w:r>
      <w:r>
        <w:rPr>
          <w:rFonts w:ascii="仿宋_GB2312" w:hAnsi="仿宋_GB2312" w:cs="仿宋_GB2312" w:eastAsia="仿宋_GB2312"/>
        </w:rPr>
        <w:t>和</w:t>
      </w:r>
      <w:r>
        <w:rPr>
          <w:rFonts w:ascii="仿宋_GB2312" w:hAnsi="仿宋_GB2312" w:cs="仿宋_GB2312" w:eastAsia="仿宋_GB2312"/>
        </w:rPr>
        <w:t>陕西博锐特项目管理有限公司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西安市鄠邑区环境卫生管理所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陕西博锐特项目管理有限公司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西安市鄠邑区环境卫生管理所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陕西博锐特项目管理有限公司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联系人：梁佩</w:t>
      </w:r>
    </w:p>
    <w:p>
      <w:pPr>
        <w:pStyle w:val="null3"/>
      </w:pPr>
      <w:r>
        <w:rPr>
          <w:rFonts w:ascii="仿宋_GB2312" w:hAnsi="仿宋_GB2312" w:cs="仿宋_GB2312" w:eastAsia="仿宋_GB2312"/>
        </w:rPr>
        <w:t>联系电话：029-65610807</w:t>
      </w:r>
    </w:p>
    <w:p>
      <w:pPr>
        <w:pStyle w:val="null3"/>
      </w:pPr>
      <w:r>
        <w:rPr>
          <w:rFonts w:ascii="仿宋_GB2312" w:hAnsi="仿宋_GB2312" w:cs="仿宋_GB2312" w:eastAsia="仿宋_GB2312"/>
        </w:rPr>
        <w:t>地址：西安市高新区科技六路高新时代广场B座10楼</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城区道路进行全面洗扫冲洗清扫保洁，进一步提升道路扬尘治理问题，确保城区环卫洗扫冲洗清扫工作的有效开展。现购置12辆环卫专用车辆（18吨纯电动洗扫车2辆、18吨纯电动洒水车1辆、四轮电动冲洗车9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4,800,000.00</w:t>
      </w:r>
    </w:p>
    <w:p>
      <w:pPr>
        <w:pStyle w:val="null3"/>
      </w:pPr>
      <w:r>
        <w:rPr>
          <w:rFonts w:ascii="仿宋_GB2312" w:hAnsi="仿宋_GB2312" w:cs="仿宋_GB2312" w:eastAsia="仿宋_GB2312"/>
        </w:rPr>
        <w:t>采购包最高限价（元）: 4,800,000.00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重点区域专项治理项目（环卫保洁车辆购置）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重点区域专项治理项目（环卫保洁车辆购置）</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2,500,000.00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重点区域专项治理项目（环卫保洁车辆购置）</w:t>
            </w:r>
          </w:p>
        </w:tc>
        <w:tc>
          <w:tcPr>
            <w:tcW w:type="dxa" w:w="755"/>
          </w:tcPr>
          <w:p>
            <w:pPr>
              <w:pStyle w:val="null3"/>
              <w:jc w:val="right"/>
            </w:pPr>
            <w:r>
              <w:rPr>
                <w:rFonts w:ascii="仿宋_GB2312" w:hAnsi="仿宋_GB2312" w:cs="仿宋_GB2312" w:eastAsia="仿宋_GB2312"/>
              </w:rPr>
              <w:t>9.00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标的名称：重点区域专项治理项目（环卫保洁车辆购置）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18吨纯电动洒水车：</w:t>
            </w:r>
          </w:p>
          <w:p>
            <w:pPr>
              <w:pStyle w:val="null3"/>
              <w:jc w:val="both"/>
            </w:pPr>
            <w:r>
              <w:rPr>
                <w:rFonts w:ascii="仿宋_GB2312" w:hAnsi="仿宋_GB2312" w:cs="仿宋_GB2312" w:eastAsia="仿宋_GB2312"/>
                <w:sz w:val="20"/>
              </w:rPr>
              <w:t>1.外形尺寸（长×宽×高mm）：</w:t>
            </w:r>
            <w:r>
              <w:rPr>
                <w:rFonts w:ascii="仿宋_GB2312" w:hAnsi="仿宋_GB2312" w:cs="仿宋_GB2312" w:eastAsia="仿宋_GB2312"/>
                <w:sz w:val="20"/>
              </w:rPr>
              <w:t>≥8050×2520×3000；</w:t>
            </w:r>
          </w:p>
          <w:p>
            <w:pPr>
              <w:pStyle w:val="null3"/>
              <w:jc w:val="both"/>
            </w:pPr>
            <w:r>
              <w:rPr>
                <w:rFonts w:ascii="仿宋_GB2312" w:hAnsi="仿宋_GB2312" w:cs="仿宋_GB2312" w:eastAsia="仿宋_GB2312"/>
                <w:sz w:val="20"/>
              </w:rPr>
              <w:t>2.总质量（kg）：≤18000；</w:t>
            </w:r>
          </w:p>
          <w:p>
            <w:pPr>
              <w:pStyle w:val="null3"/>
              <w:jc w:val="both"/>
            </w:pPr>
            <w:r>
              <w:rPr>
                <w:rFonts w:ascii="仿宋_GB2312" w:hAnsi="仿宋_GB2312" w:cs="仿宋_GB2312" w:eastAsia="仿宋_GB2312"/>
                <w:sz w:val="20"/>
              </w:rPr>
              <w:t>3.整备质量（kg）：</w:t>
            </w:r>
            <w:r>
              <w:rPr>
                <w:rFonts w:ascii="仿宋_GB2312" w:hAnsi="仿宋_GB2312" w:cs="仿宋_GB2312" w:eastAsia="仿宋_GB2312"/>
                <w:sz w:val="20"/>
              </w:rPr>
              <w:t>≥8150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4.额定载质量（kg）：≥9300；</w:t>
            </w:r>
          </w:p>
          <w:p>
            <w:pPr>
              <w:pStyle w:val="null3"/>
              <w:jc w:val="both"/>
            </w:pPr>
            <w:r>
              <w:rPr>
                <w:rFonts w:ascii="仿宋_GB2312" w:hAnsi="仿宋_GB2312" w:cs="仿宋_GB2312" w:eastAsia="仿宋_GB2312"/>
                <w:sz w:val="20"/>
              </w:rPr>
              <w:t>5.轴距（mm）：≤4500；</w:t>
            </w:r>
          </w:p>
          <w:p>
            <w:pPr>
              <w:pStyle w:val="null3"/>
              <w:jc w:val="both"/>
            </w:pPr>
            <w:r>
              <w:rPr>
                <w:rFonts w:ascii="仿宋_GB2312" w:hAnsi="仿宋_GB2312" w:cs="仿宋_GB2312" w:eastAsia="仿宋_GB2312"/>
                <w:sz w:val="20"/>
              </w:rPr>
              <w:t>6.接近角/离去角（°）：≥</w:t>
            </w:r>
            <w:r>
              <w:rPr>
                <w:rFonts w:ascii="仿宋_GB2312" w:hAnsi="仿宋_GB2312" w:cs="仿宋_GB2312" w:eastAsia="仿宋_GB2312"/>
                <w:sz w:val="20"/>
              </w:rPr>
              <w:t>12</w:t>
            </w:r>
            <w:r>
              <w:rPr>
                <w:rFonts w:ascii="仿宋_GB2312" w:hAnsi="仿宋_GB2312" w:cs="仿宋_GB2312" w:eastAsia="仿宋_GB2312"/>
                <w:sz w:val="20"/>
              </w:rPr>
              <w:t>/10；</w:t>
            </w:r>
          </w:p>
          <w:p>
            <w:pPr>
              <w:pStyle w:val="null3"/>
              <w:jc w:val="both"/>
            </w:pPr>
            <w:r>
              <w:rPr>
                <w:rFonts w:ascii="仿宋_GB2312" w:hAnsi="仿宋_GB2312" w:cs="仿宋_GB2312" w:eastAsia="仿宋_GB2312"/>
                <w:sz w:val="20"/>
              </w:rPr>
              <w:t>7.前悬/后悬（mm）：≤1400/2</w:t>
            </w:r>
            <w:r>
              <w:rPr>
                <w:rFonts w:ascii="仿宋_GB2312" w:hAnsi="仿宋_GB2312" w:cs="仿宋_GB2312" w:eastAsia="仿宋_GB2312"/>
                <w:sz w:val="20"/>
              </w:rPr>
              <w:t>200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8.动力电池类型：磷酸铁锂（或优于）；</w:t>
            </w:r>
          </w:p>
          <w:p>
            <w:pPr>
              <w:pStyle w:val="null3"/>
              <w:jc w:val="both"/>
            </w:pPr>
            <w:r>
              <w:rPr>
                <w:rFonts w:ascii="仿宋_GB2312" w:hAnsi="仿宋_GB2312" w:cs="仿宋_GB2312" w:eastAsia="仿宋_GB2312"/>
                <w:sz w:val="20"/>
              </w:rPr>
              <w:t>▲9.电机功率（kw）：≥200；</w:t>
            </w:r>
          </w:p>
          <w:p>
            <w:pPr>
              <w:pStyle w:val="null3"/>
              <w:jc w:val="both"/>
            </w:pPr>
            <w:r>
              <w:rPr>
                <w:rFonts w:ascii="仿宋_GB2312" w:hAnsi="仿宋_GB2312" w:cs="仿宋_GB2312" w:eastAsia="仿宋_GB2312"/>
                <w:sz w:val="20"/>
              </w:rPr>
              <w:t>▲10.电池电量（kwh)：≥160；续航里程（km）≥200（等速法）；</w:t>
            </w:r>
          </w:p>
          <w:p>
            <w:pPr>
              <w:pStyle w:val="null3"/>
              <w:jc w:val="both"/>
            </w:pPr>
            <w:r>
              <w:rPr>
                <w:rFonts w:ascii="仿宋_GB2312" w:hAnsi="仿宋_GB2312" w:cs="仿宋_GB2312" w:eastAsia="仿宋_GB2312"/>
                <w:sz w:val="20"/>
              </w:rPr>
              <w:t>▲11.罐体公告有效容积（m³）：≥8；</w:t>
            </w:r>
          </w:p>
          <w:p>
            <w:pPr>
              <w:pStyle w:val="null3"/>
              <w:jc w:val="both"/>
            </w:pPr>
            <w:r>
              <w:rPr>
                <w:rFonts w:ascii="仿宋_GB2312" w:hAnsi="仿宋_GB2312" w:cs="仿宋_GB2312" w:eastAsia="仿宋_GB2312"/>
                <w:sz w:val="20"/>
              </w:rPr>
              <w:t>12.水泵流量（m³/h）：≥50；</w:t>
            </w:r>
          </w:p>
          <w:p>
            <w:pPr>
              <w:pStyle w:val="null3"/>
              <w:jc w:val="both"/>
            </w:pPr>
            <w:r>
              <w:rPr>
                <w:rFonts w:ascii="仿宋_GB2312" w:hAnsi="仿宋_GB2312" w:cs="仿宋_GB2312" w:eastAsia="仿宋_GB2312"/>
                <w:sz w:val="20"/>
              </w:rPr>
              <w:t>13.水泵扬程（m）：≥110；</w:t>
            </w:r>
          </w:p>
          <w:p>
            <w:pPr>
              <w:pStyle w:val="null3"/>
              <w:jc w:val="both"/>
            </w:pPr>
            <w:r>
              <w:rPr>
                <w:rFonts w:ascii="仿宋_GB2312" w:hAnsi="仿宋_GB2312" w:cs="仿宋_GB2312" w:eastAsia="仿宋_GB2312"/>
                <w:sz w:val="20"/>
              </w:rPr>
              <w:t>▲14.洒水冲洗宽度（m）：≥24；</w:t>
            </w:r>
          </w:p>
          <w:p>
            <w:pPr>
              <w:pStyle w:val="null3"/>
              <w:jc w:val="both"/>
            </w:pPr>
            <w:r>
              <w:rPr>
                <w:rFonts w:ascii="仿宋_GB2312" w:hAnsi="仿宋_GB2312" w:cs="仿宋_GB2312" w:eastAsia="仿宋_GB2312"/>
                <w:sz w:val="20"/>
              </w:rPr>
              <w:t>15.驾驶室内配备空调。</w:t>
            </w:r>
          </w:p>
          <w:p>
            <w:pPr>
              <w:pStyle w:val="null3"/>
              <w:jc w:val="both"/>
            </w:pPr>
            <w:r>
              <w:rPr>
                <w:rFonts w:ascii="仿宋_GB2312" w:hAnsi="仿宋_GB2312" w:cs="仿宋_GB2312" w:eastAsia="仿宋_GB2312"/>
                <w:sz w:val="20"/>
              </w:rPr>
              <w:t>16.驱动电机、整车控制器防护等级达到IP67或以上。</w:t>
            </w:r>
          </w:p>
          <w:p>
            <w:pPr>
              <w:pStyle w:val="null3"/>
              <w:jc w:val="both"/>
            </w:pPr>
            <w:r>
              <w:rPr>
                <w:rFonts w:ascii="仿宋_GB2312" w:hAnsi="仿宋_GB2312" w:cs="仿宋_GB2312" w:eastAsia="仿宋_GB2312"/>
                <w:sz w:val="20"/>
              </w:rPr>
              <w:t>17.罐体采用优质高强度碳钢材质，水罐内壁采用先进性防腐蚀工艺处理。罐体内部采用防波板缓冲结构设计，底架采用框架结构。</w:t>
            </w:r>
          </w:p>
          <w:p>
            <w:pPr>
              <w:pStyle w:val="null3"/>
              <w:jc w:val="both"/>
            </w:pPr>
            <w:r>
              <w:rPr>
                <w:rFonts w:ascii="仿宋_GB2312" w:hAnsi="仿宋_GB2312" w:cs="仿宋_GB2312" w:eastAsia="仿宋_GB2312"/>
                <w:sz w:val="20"/>
              </w:rPr>
              <w:t>18.水罐设低水位报警系统及缺水自动停机功能。</w:t>
            </w:r>
          </w:p>
          <w:p>
            <w:pPr>
              <w:pStyle w:val="null3"/>
              <w:jc w:val="both"/>
            </w:pPr>
            <w:r>
              <w:rPr>
                <w:rFonts w:ascii="仿宋_GB2312" w:hAnsi="仿宋_GB2312" w:cs="仿宋_GB2312" w:eastAsia="仿宋_GB2312"/>
                <w:sz w:val="20"/>
              </w:rPr>
              <w:t>19.水泵采用独立电机驱动。</w:t>
            </w:r>
          </w:p>
          <w:p>
            <w:pPr>
              <w:pStyle w:val="null3"/>
              <w:jc w:val="both"/>
            </w:pPr>
            <w:r>
              <w:rPr>
                <w:rFonts w:ascii="仿宋_GB2312" w:hAnsi="仿宋_GB2312" w:cs="仿宋_GB2312" w:eastAsia="仿宋_GB2312"/>
                <w:sz w:val="20"/>
              </w:rPr>
              <w:t>20.水泵、管路、水阀均设放水排干功能。</w:t>
            </w:r>
          </w:p>
          <w:p>
            <w:pPr>
              <w:pStyle w:val="null3"/>
            </w:pPr>
            <w:r>
              <w:rPr>
                <w:rFonts w:ascii="仿宋_GB2312" w:hAnsi="仿宋_GB2312" w:cs="仿宋_GB2312" w:eastAsia="仿宋_GB2312"/>
                <w:sz w:val="20"/>
              </w:rPr>
              <w:t>21充电设施：提供并安装配套的充电设施（直流、功率≥120kw）；</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rPr>
              <w:t>技术要求：</w:t>
            </w:r>
          </w:p>
          <w:p>
            <w:pPr>
              <w:pStyle w:val="null3"/>
            </w:pPr>
            <w:r>
              <w:rPr>
                <w:rFonts w:ascii="仿宋_GB2312" w:hAnsi="仿宋_GB2312" w:cs="仿宋_GB2312" w:eastAsia="仿宋_GB2312"/>
                <w:sz w:val="20"/>
              </w:rPr>
              <w:t>符合国家、行业相关法律法规、工信部公告数据及满足采购人正常使用需求。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rPr>
              <w:t>服务要求：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供应商按照采购人管理要求，完成采购车辆车身标识喷涂，并在车管部门完成车身变更手续；</w:t>
            </w:r>
          </w:p>
          <w:p>
            <w:pPr>
              <w:pStyle w:val="null3"/>
            </w:pPr>
            <w:r>
              <w:rPr>
                <w:rFonts w:ascii="仿宋_GB2312" w:hAnsi="仿宋_GB2312" w:cs="仿宋_GB2312" w:eastAsia="仿宋_GB2312"/>
                <w:sz w:val="20"/>
              </w:rPr>
              <w:t>2.</w:t>
            </w:r>
            <w:r>
              <w:rPr>
                <w:rFonts w:ascii="仿宋_GB2312" w:hAnsi="仿宋_GB2312" w:cs="仿宋_GB2312" w:eastAsia="仿宋_GB2312"/>
                <w:sz w:val="20"/>
              </w:rPr>
              <w:t>供应商负责车辆交强险、商业险（机动车第三者责任险不低于</w:t>
            </w:r>
            <w:r>
              <w:rPr>
                <w:rFonts w:ascii="仿宋_GB2312" w:hAnsi="仿宋_GB2312" w:cs="仿宋_GB2312" w:eastAsia="仿宋_GB2312"/>
                <w:sz w:val="20"/>
              </w:rPr>
              <w:t>300万）和上牌等相关手续办理；</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供货商做好对车辆驾驶人员的培训，同时确保售后服务到位。</w:t>
            </w:r>
          </w:p>
        </w:tc>
      </w:tr>
    </w:tbl>
    <w:p>
      <w:pPr>
        <w:pStyle w:val="null3"/>
      </w:pPr>
      <w:r>
        <w:rPr>
          <w:rFonts w:ascii="仿宋_GB2312" w:hAnsi="仿宋_GB2312" w:cs="仿宋_GB2312" w:eastAsia="仿宋_GB2312"/>
        </w:rPr>
        <w:t>标的名称：重点区域专项治理项目（环卫保洁车辆购置）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18吨纯电动洗扫车：</w:t>
            </w:r>
          </w:p>
          <w:p>
            <w:pPr>
              <w:pStyle w:val="null3"/>
              <w:jc w:val="both"/>
            </w:pPr>
            <w:r>
              <w:rPr>
                <w:rFonts w:ascii="仿宋_GB2312" w:hAnsi="仿宋_GB2312" w:cs="仿宋_GB2312" w:eastAsia="仿宋_GB2312"/>
                <w:sz w:val="20"/>
              </w:rPr>
              <w:t>1.底盘型号：国产品牌；</w:t>
            </w:r>
          </w:p>
          <w:p>
            <w:pPr>
              <w:pStyle w:val="null3"/>
              <w:jc w:val="both"/>
            </w:pPr>
            <w:r>
              <w:rPr>
                <w:rFonts w:ascii="仿宋_GB2312" w:hAnsi="仿宋_GB2312" w:cs="仿宋_GB2312" w:eastAsia="仿宋_GB2312"/>
                <w:sz w:val="20"/>
              </w:rPr>
              <w:t>2.外形尺寸（长×宽×高）（mm）：≤9000×2500×3150；</w:t>
            </w:r>
          </w:p>
          <w:p>
            <w:pPr>
              <w:pStyle w:val="null3"/>
              <w:jc w:val="both"/>
            </w:pPr>
            <w:r>
              <w:rPr>
                <w:rFonts w:ascii="仿宋_GB2312" w:hAnsi="仿宋_GB2312" w:cs="仿宋_GB2312" w:eastAsia="仿宋_GB2312"/>
                <w:sz w:val="20"/>
              </w:rPr>
              <w:t>3.最大总质量（kg）：≥18000；</w:t>
            </w:r>
          </w:p>
          <w:p>
            <w:pPr>
              <w:pStyle w:val="null3"/>
              <w:jc w:val="both"/>
            </w:pPr>
            <w:r>
              <w:rPr>
                <w:rFonts w:ascii="仿宋_GB2312" w:hAnsi="仿宋_GB2312" w:cs="仿宋_GB2312" w:eastAsia="仿宋_GB2312"/>
                <w:sz w:val="20"/>
              </w:rPr>
              <w:t>4.整备质量（kg）：≥13500；</w:t>
            </w:r>
          </w:p>
          <w:p>
            <w:pPr>
              <w:pStyle w:val="null3"/>
              <w:jc w:val="both"/>
            </w:pPr>
            <w:r>
              <w:rPr>
                <w:rFonts w:ascii="仿宋_GB2312" w:hAnsi="仿宋_GB2312" w:cs="仿宋_GB2312" w:eastAsia="仿宋_GB2312"/>
                <w:sz w:val="20"/>
              </w:rPr>
              <w:t>5.额定载质量（kg）：≥4300；</w:t>
            </w:r>
          </w:p>
          <w:p>
            <w:pPr>
              <w:pStyle w:val="null3"/>
              <w:jc w:val="both"/>
            </w:pPr>
            <w:r>
              <w:rPr>
                <w:rFonts w:ascii="仿宋_GB2312" w:hAnsi="仿宋_GB2312" w:cs="仿宋_GB2312" w:eastAsia="仿宋_GB2312"/>
                <w:sz w:val="20"/>
              </w:rPr>
              <w:t>▲6.电机功率(kw)：≥160；</w:t>
            </w:r>
          </w:p>
          <w:p>
            <w:pPr>
              <w:pStyle w:val="null3"/>
              <w:jc w:val="both"/>
            </w:pPr>
            <w:r>
              <w:rPr>
                <w:rFonts w:ascii="仿宋_GB2312" w:hAnsi="仿宋_GB2312" w:cs="仿宋_GB2312" w:eastAsia="仿宋_GB2312"/>
                <w:sz w:val="20"/>
              </w:rPr>
              <w:t>▲7.电池电量（kwh）：≥260；续航里程（km）≥280（等速法）；</w:t>
            </w:r>
          </w:p>
          <w:p>
            <w:pPr>
              <w:pStyle w:val="null3"/>
              <w:jc w:val="both"/>
            </w:pPr>
            <w:r>
              <w:rPr>
                <w:rFonts w:ascii="仿宋_GB2312" w:hAnsi="仿宋_GB2312" w:cs="仿宋_GB2312" w:eastAsia="仿宋_GB2312"/>
                <w:sz w:val="20"/>
              </w:rPr>
              <w:t>8.轴距（mm）：≥5300；</w:t>
            </w:r>
          </w:p>
          <w:p>
            <w:pPr>
              <w:pStyle w:val="null3"/>
              <w:jc w:val="both"/>
            </w:pPr>
            <w:r>
              <w:rPr>
                <w:rFonts w:ascii="仿宋_GB2312" w:hAnsi="仿宋_GB2312" w:cs="仿宋_GB2312" w:eastAsia="仿宋_GB2312"/>
                <w:sz w:val="20"/>
              </w:rPr>
              <w:t>9.前悬/后悬（mm）：≤1450/2300；</w:t>
            </w:r>
          </w:p>
          <w:p>
            <w:pPr>
              <w:pStyle w:val="null3"/>
              <w:jc w:val="both"/>
            </w:pPr>
            <w:r>
              <w:rPr>
                <w:rFonts w:ascii="仿宋_GB2312" w:hAnsi="仿宋_GB2312" w:cs="仿宋_GB2312" w:eastAsia="仿宋_GB2312"/>
                <w:sz w:val="20"/>
              </w:rPr>
              <w:t>10.接近角/离去角（°）：≥16/10；</w:t>
            </w:r>
          </w:p>
          <w:p>
            <w:pPr>
              <w:pStyle w:val="null3"/>
              <w:jc w:val="both"/>
            </w:pPr>
            <w:r>
              <w:rPr>
                <w:rFonts w:ascii="仿宋_GB2312" w:hAnsi="仿宋_GB2312" w:cs="仿宋_GB2312" w:eastAsia="仿宋_GB2312"/>
                <w:sz w:val="20"/>
              </w:rPr>
              <w:t>▲11.清扫宽度（m）：≥3.5；</w:t>
            </w:r>
          </w:p>
          <w:p>
            <w:pPr>
              <w:pStyle w:val="null3"/>
              <w:jc w:val="both"/>
            </w:pPr>
            <w:r>
              <w:rPr>
                <w:rFonts w:ascii="仿宋_GB2312" w:hAnsi="仿宋_GB2312" w:cs="仿宋_GB2312" w:eastAsia="仿宋_GB2312"/>
                <w:sz w:val="20"/>
              </w:rPr>
              <w:t>12.作业速度（km/h）：5-20；</w:t>
            </w:r>
          </w:p>
          <w:p>
            <w:pPr>
              <w:pStyle w:val="null3"/>
              <w:jc w:val="both"/>
            </w:pPr>
            <w:r>
              <w:rPr>
                <w:rFonts w:ascii="仿宋_GB2312" w:hAnsi="仿宋_GB2312" w:cs="仿宋_GB2312" w:eastAsia="仿宋_GB2312"/>
                <w:sz w:val="20"/>
              </w:rPr>
              <w:t>13.高压清洗压力（Mpa）：≥10；</w:t>
            </w:r>
          </w:p>
          <w:p>
            <w:pPr>
              <w:pStyle w:val="null3"/>
              <w:jc w:val="both"/>
            </w:pPr>
            <w:r>
              <w:rPr>
                <w:rFonts w:ascii="仿宋_GB2312" w:hAnsi="仿宋_GB2312" w:cs="仿宋_GB2312" w:eastAsia="仿宋_GB2312"/>
                <w:sz w:val="20"/>
              </w:rPr>
              <w:t>▲14.清水箱容积(L)：≥4000；</w:t>
            </w:r>
          </w:p>
          <w:p>
            <w:pPr>
              <w:pStyle w:val="null3"/>
              <w:jc w:val="both"/>
            </w:pPr>
            <w:r>
              <w:rPr>
                <w:rFonts w:ascii="仿宋_GB2312" w:hAnsi="仿宋_GB2312" w:cs="仿宋_GB2312" w:eastAsia="仿宋_GB2312"/>
                <w:sz w:val="20"/>
              </w:rPr>
              <w:t>15.污水垃圾箱容积(L)：≥3000；</w:t>
            </w:r>
          </w:p>
          <w:p>
            <w:pPr>
              <w:pStyle w:val="null3"/>
              <w:jc w:val="both"/>
            </w:pPr>
            <w:r>
              <w:rPr>
                <w:rFonts w:ascii="仿宋_GB2312" w:hAnsi="仿宋_GB2312" w:cs="仿宋_GB2312" w:eastAsia="仿宋_GB2312"/>
                <w:sz w:val="20"/>
              </w:rPr>
              <w:t>16.车厢外形采用瓦楞式造型。配备高压清洗枪。</w:t>
            </w:r>
          </w:p>
          <w:p>
            <w:pPr>
              <w:pStyle w:val="null3"/>
              <w:jc w:val="both"/>
            </w:pPr>
            <w:r>
              <w:rPr>
                <w:rFonts w:ascii="仿宋_GB2312" w:hAnsi="仿宋_GB2312" w:cs="仿宋_GB2312" w:eastAsia="仿宋_GB2312"/>
                <w:sz w:val="20"/>
              </w:rPr>
              <w:t>17.可根据不同的工况可选择不同作业模式及强度。各作业模式均采用程序控制。</w:t>
            </w:r>
          </w:p>
          <w:p>
            <w:pPr>
              <w:pStyle w:val="null3"/>
              <w:jc w:val="both"/>
            </w:pPr>
            <w:r>
              <w:rPr>
                <w:rFonts w:ascii="仿宋_GB2312" w:hAnsi="仿宋_GB2312" w:cs="仿宋_GB2312" w:eastAsia="仿宋_GB2312"/>
                <w:sz w:val="20"/>
              </w:rPr>
              <w:t>18.具备路面清扫、路面洗刷、高压清洗、路缘石洗刷、垃圾收集、污水回收、喷雾和道路隔离墙清洗等多种作业功能。</w:t>
            </w:r>
          </w:p>
          <w:p>
            <w:pPr>
              <w:pStyle w:val="null3"/>
              <w:jc w:val="both"/>
            </w:pPr>
            <w:r>
              <w:rPr>
                <w:rFonts w:ascii="仿宋_GB2312" w:hAnsi="仿宋_GB2312" w:cs="仿宋_GB2312" w:eastAsia="仿宋_GB2312"/>
                <w:sz w:val="20"/>
              </w:rPr>
              <w:t>19.具有多种安全报警装置：清水箱低水位，垃圾箱满箱，作业提示。</w:t>
            </w:r>
          </w:p>
          <w:p>
            <w:pPr>
              <w:pStyle w:val="null3"/>
              <w:jc w:val="both"/>
            </w:pPr>
            <w:r>
              <w:rPr>
                <w:rFonts w:ascii="仿宋_GB2312" w:hAnsi="仿宋_GB2312" w:cs="仿宋_GB2312" w:eastAsia="仿宋_GB2312"/>
                <w:sz w:val="20"/>
              </w:rPr>
              <w:t>20.采用车载控制器与CAN总线控制技术，集成控制面板，实现驾驶室一键操作。并设置作业摄像监控，倒车影像等安全装置。可选择“洗扫”、“扫路”、“全洗”、“单侧扫”、“双侧扫”等多种作业模式。</w:t>
            </w:r>
          </w:p>
          <w:p>
            <w:pPr>
              <w:pStyle w:val="null3"/>
              <w:jc w:val="both"/>
            </w:pPr>
            <w:r>
              <w:rPr>
                <w:rFonts w:ascii="仿宋_GB2312" w:hAnsi="仿宋_GB2312" w:cs="仿宋_GB2312" w:eastAsia="仿宋_GB2312"/>
                <w:sz w:val="20"/>
              </w:rPr>
              <w:t>21.扫刷和喷杆装置须具有自动避障保护功能。</w:t>
            </w:r>
          </w:p>
          <w:p>
            <w:pPr>
              <w:pStyle w:val="null3"/>
              <w:jc w:val="both"/>
            </w:pPr>
            <w:r>
              <w:rPr>
                <w:rFonts w:ascii="仿宋_GB2312" w:hAnsi="仿宋_GB2312" w:cs="仿宋_GB2312" w:eastAsia="仿宋_GB2312"/>
                <w:sz w:val="20"/>
              </w:rPr>
              <w:t>22.充电设施：提供并安装配套的充电设施（直流、功率≥120kw）。</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rPr>
              <w:t>技术要求：</w:t>
            </w:r>
          </w:p>
          <w:p>
            <w:pPr>
              <w:pStyle w:val="null3"/>
              <w:jc w:val="both"/>
            </w:pPr>
            <w:r>
              <w:rPr>
                <w:rFonts w:ascii="仿宋_GB2312" w:hAnsi="仿宋_GB2312" w:cs="仿宋_GB2312" w:eastAsia="仿宋_GB2312"/>
                <w:sz w:val="20"/>
              </w:rPr>
              <w:t>符合国家、行业相关法律法规、工信部公告数据及满足采购人正常使用需求。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rPr>
              <w:t>服务要求：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供应商按照采购人管理要求，完成采购车辆车身标识喷涂，并在车管部门完成车身变更手续；</w:t>
            </w:r>
          </w:p>
          <w:p>
            <w:pPr>
              <w:pStyle w:val="null3"/>
            </w:pPr>
            <w:r>
              <w:rPr>
                <w:rFonts w:ascii="仿宋_GB2312" w:hAnsi="仿宋_GB2312" w:cs="仿宋_GB2312" w:eastAsia="仿宋_GB2312"/>
                <w:sz w:val="20"/>
              </w:rPr>
              <w:t>2.</w:t>
            </w:r>
            <w:r>
              <w:rPr>
                <w:rFonts w:ascii="仿宋_GB2312" w:hAnsi="仿宋_GB2312" w:cs="仿宋_GB2312" w:eastAsia="仿宋_GB2312"/>
                <w:sz w:val="20"/>
              </w:rPr>
              <w:t>供应商负责车辆交强险、商业险（机动车第三者责任险不低于</w:t>
            </w:r>
            <w:r>
              <w:rPr>
                <w:rFonts w:ascii="仿宋_GB2312" w:hAnsi="仿宋_GB2312" w:cs="仿宋_GB2312" w:eastAsia="仿宋_GB2312"/>
                <w:sz w:val="20"/>
              </w:rPr>
              <w:t>300万）和上牌等相关手续办理；</w:t>
            </w:r>
          </w:p>
          <w:p>
            <w:pPr>
              <w:pStyle w:val="null3"/>
            </w:pPr>
            <w:r>
              <w:rPr>
                <w:rFonts w:ascii="仿宋_GB2312" w:hAnsi="仿宋_GB2312" w:cs="仿宋_GB2312" w:eastAsia="仿宋_GB2312"/>
                <w:sz w:val="20"/>
              </w:rPr>
              <w:t>3.</w:t>
            </w:r>
            <w:r>
              <w:rPr>
                <w:rFonts w:ascii="仿宋_GB2312" w:hAnsi="仿宋_GB2312" w:cs="仿宋_GB2312" w:eastAsia="仿宋_GB2312"/>
                <w:sz w:val="20"/>
              </w:rPr>
              <w:t>供货商做好对车辆驾驶人员的培训，同时确保售后服务到位。</w:t>
            </w:r>
          </w:p>
        </w:tc>
      </w:tr>
    </w:tbl>
    <w:p>
      <w:pPr>
        <w:pStyle w:val="null3"/>
      </w:pPr>
      <w:r>
        <w:rPr>
          <w:rFonts w:ascii="仿宋_GB2312" w:hAnsi="仿宋_GB2312" w:cs="仿宋_GB2312" w:eastAsia="仿宋_GB2312"/>
        </w:rPr>
        <w:t>标的名称：重点区域专项治理项目（环卫保洁车辆购置）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电动四轮高压冲洗车：</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整车重量（</w:t>
            </w:r>
            <w:r>
              <w:rPr>
                <w:rFonts w:ascii="仿宋_GB2312" w:hAnsi="仿宋_GB2312" w:cs="仿宋_GB2312" w:eastAsia="仿宋_GB2312"/>
                <w:sz w:val="20"/>
              </w:rPr>
              <w:t>kg）：≥1200；</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额定载质量（</w:t>
            </w:r>
            <w:r>
              <w:rPr>
                <w:rFonts w:ascii="仿宋_GB2312" w:hAnsi="仿宋_GB2312" w:cs="仿宋_GB2312" w:eastAsia="仿宋_GB2312"/>
                <w:sz w:val="20"/>
              </w:rPr>
              <w:t>kg）：≥1500；</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最高车速（</w:t>
            </w:r>
            <w:r>
              <w:rPr>
                <w:rFonts w:ascii="仿宋_GB2312" w:hAnsi="仿宋_GB2312" w:cs="仿宋_GB2312" w:eastAsia="仿宋_GB2312"/>
                <w:sz w:val="20"/>
              </w:rPr>
              <w:t>km）：≤35；</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行车电机：输出功率：</w:t>
            </w:r>
            <w:r>
              <w:rPr>
                <w:rFonts w:ascii="仿宋_GB2312" w:hAnsi="仿宋_GB2312" w:cs="仿宋_GB2312" w:eastAsia="仿宋_GB2312"/>
                <w:sz w:val="20"/>
              </w:rPr>
              <w:t>≥4kw；</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续行里程（</w:t>
            </w:r>
            <w:r>
              <w:rPr>
                <w:rFonts w:ascii="仿宋_GB2312" w:hAnsi="仿宋_GB2312" w:cs="仿宋_GB2312" w:eastAsia="仿宋_GB2312"/>
                <w:sz w:val="20"/>
              </w:rPr>
              <w:t>km）：≥50；</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外形尺寸（长</w:t>
            </w:r>
            <w:r>
              <w:rPr>
                <w:rFonts w:ascii="仿宋_GB2312" w:hAnsi="仿宋_GB2312" w:cs="仿宋_GB2312" w:eastAsia="仿宋_GB2312"/>
                <w:sz w:val="20"/>
              </w:rPr>
              <w:t>×宽×高mm）：≤3500*1350*1900；</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轴距（</w:t>
            </w:r>
            <w:r>
              <w:rPr>
                <w:rFonts w:ascii="仿宋_GB2312" w:hAnsi="仿宋_GB2312" w:cs="仿宋_GB2312" w:eastAsia="仿宋_GB2312"/>
                <w:sz w:val="20"/>
              </w:rPr>
              <w:t>mm）：≤1550；</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电池位置：车架电池盒；</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离地尺寸（</w:t>
            </w:r>
            <w:r>
              <w:rPr>
                <w:rFonts w:ascii="仿宋_GB2312" w:hAnsi="仿宋_GB2312" w:cs="仿宋_GB2312" w:eastAsia="仿宋_GB2312"/>
                <w:sz w:val="20"/>
              </w:rPr>
              <w:t>mm）：≥230；</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罐体材质：采用</w:t>
            </w:r>
            <w:r>
              <w:rPr>
                <w:rFonts w:ascii="仿宋_GB2312" w:hAnsi="仿宋_GB2312" w:cs="仿宋_GB2312" w:eastAsia="仿宋_GB2312"/>
                <w:sz w:val="20"/>
              </w:rPr>
              <w:t>1.5mm不锈钢钢板焊接，水箱内部耐压结构设计，配备：进水口、放水口、溢流口及液位显示口；</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车架、车身：优质碳结构钢，车架电泳、高温烤漆；</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水罐容积（</w:t>
            </w:r>
            <w:r>
              <w:rPr>
                <w:rFonts w:ascii="仿宋_GB2312" w:hAnsi="仿宋_GB2312" w:cs="仿宋_GB2312" w:eastAsia="仿宋_GB2312"/>
                <w:sz w:val="20"/>
              </w:rPr>
              <w:t>m³）：≥1.5；</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喷水方式：高压水枪</w:t>
            </w:r>
            <w:r>
              <w:rPr>
                <w:rFonts w:ascii="仿宋_GB2312" w:hAnsi="仿宋_GB2312" w:cs="仿宋_GB2312" w:eastAsia="仿宋_GB2312"/>
                <w:sz w:val="20"/>
              </w:rPr>
              <w:t>/后洒/对冲；</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电机：纯电动</w:t>
            </w:r>
            <w:r>
              <w:rPr>
                <w:rFonts w:ascii="仿宋_GB2312" w:hAnsi="仿宋_GB2312" w:cs="仿宋_GB2312" w:eastAsia="仿宋_GB2312"/>
                <w:sz w:val="20"/>
              </w:rPr>
              <w:t>3000w直流清洗机（延时5秒关枪停机：在冲洗的过程中不关机、电机也不停机）；</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水泵：压力</w:t>
            </w:r>
            <w:r>
              <w:rPr>
                <w:rFonts w:ascii="仿宋_GB2312" w:hAnsi="仿宋_GB2312" w:cs="仿宋_GB2312" w:eastAsia="仿宋_GB2312"/>
                <w:sz w:val="20"/>
              </w:rPr>
              <w:t>≥160Kg/cm²，压力范围可调节；</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卷管器：</w:t>
            </w:r>
            <w:r>
              <w:rPr>
                <w:rFonts w:ascii="仿宋_GB2312" w:hAnsi="仿宋_GB2312" w:cs="仿宋_GB2312" w:eastAsia="仿宋_GB2312"/>
                <w:sz w:val="20"/>
              </w:rPr>
              <w:t>15米重型双臂自动收缩式卷管器；</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加水口：</w:t>
            </w:r>
            <w:r>
              <w:rPr>
                <w:rFonts w:ascii="仿宋_GB2312" w:hAnsi="仿宋_GB2312" w:cs="仿宋_GB2312" w:eastAsia="仿宋_GB2312"/>
                <w:sz w:val="20"/>
              </w:rPr>
              <w:t>DN65消防栓加水口、顶部加大加水口；</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0"/>
              </w:rPr>
              <w:t>过滤器：</w:t>
            </w:r>
            <w:r>
              <w:rPr>
                <w:rFonts w:ascii="仿宋_GB2312" w:hAnsi="仿宋_GB2312" w:cs="仿宋_GB2312" w:eastAsia="仿宋_GB2312"/>
                <w:sz w:val="20"/>
              </w:rPr>
              <w:t>80目水过滤器；</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w:t>
            </w:r>
            <w:r>
              <w:rPr>
                <w:rFonts w:ascii="仿宋_GB2312" w:hAnsi="仿宋_GB2312" w:cs="仿宋_GB2312" w:eastAsia="仿宋_GB2312"/>
                <w:sz w:val="20"/>
              </w:rPr>
              <w:t>水路切换：不锈钢高压球阀切换，方便快捷；</w:t>
            </w:r>
          </w:p>
          <w:p>
            <w:pPr>
              <w:pStyle w:val="null3"/>
              <w:jc w:val="both"/>
            </w:pP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电池容量：</w:t>
            </w:r>
            <w:r>
              <w:rPr>
                <w:rFonts w:ascii="仿宋_GB2312" w:hAnsi="仿宋_GB2312" w:cs="仿宋_GB2312" w:eastAsia="仿宋_GB2312"/>
                <w:sz w:val="20"/>
              </w:rPr>
              <w:t>60V150A锂电池；</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w:t>
            </w:r>
            <w:r>
              <w:rPr>
                <w:rFonts w:ascii="仿宋_GB2312" w:hAnsi="仿宋_GB2312" w:cs="仿宋_GB2312" w:eastAsia="仿宋_GB2312"/>
                <w:sz w:val="20"/>
              </w:rPr>
              <w:t>充电器：便携式智能充电器，充满自动断电；</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后桥：一体式齿轮箱传动（高低速）无级变速系统；</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悬挂：后悬钢板非独立减震；</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制动：前后机械制动，驻车制动装置，真空油刹系统；</w:t>
            </w:r>
          </w:p>
          <w:p>
            <w:pPr>
              <w:pStyle w:val="null3"/>
              <w:jc w:val="both"/>
            </w:pPr>
            <w:r>
              <w:rPr>
                <w:rFonts w:ascii="仿宋_GB2312" w:hAnsi="仿宋_GB2312" w:cs="仿宋_GB2312" w:eastAsia="仿宋_GB2312"/>
                <w:sz w:val="20"/>
              </w:rPr>
              <w:t>25.</w:t>
            </w:r>
            <w:r>
              <w:rPr>
                <w:rFonts w:ascii="仿宋_GB2312" w:hAnsi="仿宋_GB2312" w:cs="仿宋_GB2312" w:eastAsia="仿宋_GB2312"/>
                <w:sz w:val="20"/>
              </w:rPr>
              <w:t>转向系统：齿轮齿条式方向机；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rPr>
              <w:t>技术要求：</w:t>
            </w:r>
          </w:p>
          <w:p>
            <w:pPr>
              <w:pStyle w:val="null3"/>
              <w:jc w:val="both"/>
            </w:pPr>
            <w:r>
              <w:rPr>
                <w:rFonts w:ascii="仿宋_GB2312" w:hAnsi="仿宋_GB2312" w:cs="仿宋_GB2312" w:eastAsia="仿宋_GB2312"/>
                <w:sz w:val="20"/>
              </w:rPr>
              <w:t>满足采购人正常使用需求。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rPr>
              <w:t>服务要求：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供应商按照采购人管理要求，完成采购车辆车身标识喷涂；</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供货商做好对车辆驾驶人员的培训，同时确保售后服务到位。</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自合同签订之日起45个日历日内完成交付。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进度款，合同签订后全部交付调试完毕达到使用标准，经验收合格后，达到付款条件起30个工作日内，支付合同总金额的100.0%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 所有设备（产品）数量、型号、技术指标及配置等全部按招标文件、投标文件及澄清函等进行验收。各项指标均应符合要求，若所验设备（产品）的指标、性能参数通过验收达不到要求，或在使用中发现采购人不能容忍的缺陷等，将视为设备（产品）验收不合格，投标人应免费更换或退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自验收合格之日起1年；投标人承诺超过招标文件要求的，按其承诺的质保期进行质保，质保期起始时间为验收合格之日。</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中标人须在结果公告发布之日起5个工作日内，提交投标文件一正两副（双面打印）至西安市高新区科技六路高新时代广场B座10楼（陕西博锐特项目管理有限公司）。二、分支机构参与投标时，投标文件中应附总公司出具的授权书。总公司只能授权一家分支机构参与投标，且不能与分支机构同时参加本项目投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投标人应具有独立承担民事责任的能力的企业法人、事业法人、其他组织或自然人，出具合法有效的营业执照等相关证明文件，自然人参与的提供其身份证明（加盖公章）； （2）财务状况报告：提供经审计的2025年度财务报告或开标前六个月内其本公司银行账户出具的资信证明或政府采购专业担保机构出具的投标担保函（事业单位可不提供）（加盖公章）； （3）税收缴纳证明：投标人提供截止至开标时间前六个月任一月份的缴费凭据；依法免税的应提供相关文件证明（加盖公章）； （4）社会保障资金缴纳证明：投标人提供截止至开标时间前六个月任一月份的缴费凭据或社保机构开具的社会保险参保缴费情况证明；依法不需要缴纳社会保障资金的应提供相关文件证明（加盖公章）； （5）投标人提供具有履行本合同所必需的设备和专业技术能力的承诺函（加盖公章）； （6）投标人提供参加政府采购活动前三年内在经营活动中没有重大违法记录的承诺函（加盖公章）；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开标一览表 投标函 标的清单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投标文件完整性审查</w:t>
            </w:r>
          </w:p>
        </w:tc>
        <w:tc>
          <w:tcPr>
            <w:tcW w:type="dxa" w:w="3322"/>
          </w:tcPr>
          <w:p>
            <w:pPr>
              <w:pStyle w:val="null3"/>
            </w:pPr>
            <w:r>
              <w:rPr>
                <w:rFonts w:ascii="仿宋_GB2312" w:hAnsi="仿宋_GB2312" w:cs="仿宋_GB2312" w:eastAsia="仿宋_GB2312"/>
              </w:rPr>
              <w:t>投标文件是否按照招标文件要求的格式编写；投标文件内容是否有重大缺漏项。</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资格证明文件.docx 监狱企业的证明文件 商务、技术文件.docx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（1）报价唯一 （2）未超出采购预算和最高限价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同时满足以下条款： （1）满足商务条款要求 （2）满足技术要求中带★的实质性技术要求（如有）。</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投标文件的签署、盖章合法、有效</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资格证明文件.docx 监狱企业的证明文件 商务、技术文件.docx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其他未达到招标文件要求的情况</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资格证明文件.docx 监狱企业的证明文件 商务、技术文件.docx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1、投标产品技术指标完全满⾜招标⽂件技术参数要求，⽆负偏离的计40分。2、投标产品技术指标中标注“▲”项的技术参数共12项，每有1项负偏离或缺漏的扣1分，扣完为⽌（总分12）；其他未标记项技术参数共56项，每有1项负偏离、缺漏的扣0.5分，扣完为⽌（总分28分）。不计负分，正偏离不加分。 注：第三章 技术要求中所有条款在投标文件中提供技术支持资料并在技术规格响应偏离表备注栏中标明对应页码。技术支持资料包括但不限于以投标货物制造商公开发布的印刷资料或技术白皮书或厂家官网公开电子版参数公告、电子技术手册、官方公示文件等线上材料或检测机构出具的检测报告等为准。无技术支持资料的或技术支持资料不符合要求的视为偏离（不响应），进行扣分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节能、环保、环境标志产品</w:t>
            </w:r>
          </w:p>
        </w:tc>
        <w:tc>
          <w:tcPr>
            <w:tcW w:type="dxa" w:w="2492"/>
          </w:tcPr>
          <w:p>
            <w:pPr>
              <w:pStyle w:val="null3"/>
            </w:pPr>
            <w:r>
              <w:rPr>
                <w:rFonts w:ascii="仿宋_GB2312" w:hAnsi="仿宋_GB2312" w:cs="仿宋_GB2312" w:eastAsia="仿宋_GB2312"/>
              </w:rPr>
              <w:t>投标人所投产品中每有一项为节能产品经国家认证的得1分，每有一项为环境标志产品经国家认证的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投标人针对本项目提供完整、可行的实施方案，包括： ①供货进度计划； ②物流保障措施； ③产品质量保证措施； ④项目验收方案； ⑤应急措施。 二、评审标准： 1、完善性：方案必须全面，对评审内容中的各项要求有详细阐述； 2、可实施性：切合本项目实际情况，提出步骤清晰、合理的方案； 3、针对性：方案能够紧扣项目实际情况，技术先进可靠，内容科学合理。 上述5项评审内容每项得2分，满分10分。每项评审内容存在缺陷，发现一处缺陷扣0.2分，扣完为止。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投标人针对本项目提供完整、可行的售后服务方案，包括：①售后服务保障体系②设备（产品）发生故障后的补救措施；③退还货方案。 二、评审标准： 1、完善性：方案必须全面，对评审内容中的各项要求有详细阐述； 2、可实施性：切合本项目实际情况，提出步骤清晰、合理的方案； 3、针对性：方案能够紧扣项目实际情况，技术先进可靠，内容科学合理。 上述3项评审内容每项得3分，满分9分。每项评审内容存在缺陷，发现一处缺陷扣0.2分，扣完为止。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07月01日至今（以合同签订日期为准）的类似项目业绩（类似项目业绩指环卫车辆业绩），每提供1份得2分，最高得4分;业绩证明以合同或销售协议为准，须在投标文件中附合同或销售协议的扫描件或复印件加盖单位公章，合同或销售协议不完整或扫描见模糊，业绩不予认可。弄虚作假者，取消其中标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采用低价优先法计算，即满足招标文件要求且投标报价最低的为投标基准价，其价格分为满分。 其他投标人的价格分统一按照下列公式计算：报价得分=（投标基准价/投标报价）×价格权值×100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