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6A8C7">
      <w:pPr>
        <w:numPr>
          <w:ilvl w:val="0"/>
          <w:numId w:val="0"/>
        </w:numPr>
        <w:adjustRightInd w:val="0"/>
        <w:snapToGrid w:val="0"/>
        <w:spacing w:line="360" w:lineRule="auto"/>
        <w:ind w:left="0" w:leftChars="0" w:firstLine="0" w:firstLineChars="0"/>
        <w:jc w:val="center"/>
        <w:rPr>
          <w:rFonts w:hint="eastAsia" w:ascii="仿宋" w:hAnsi="仿宋" w:eastAsia="仿宋" w:cs="仿宋"/>
          <w:b/>
          <w:bCs/>
          <w:color w:val="auto"/>
          <w:sz w:val="44"/>
          <w:szCs w:val="44"/>
          <w:highlight w:val="none"/>
          <w:lang w:val="zh-CN"/>
        </w:rPr>
      </w:pPr>
      <w:r>
        <w:rPr>
          <w:rFonts w:hint="eastAsia" w:ascii="仿宋" w:hAnsi="仿宋" w:eastAsia="仿宋" w:cs="仿宋"/>
          <w:b/>
          <w:bCs/>
          <w:color w:val="auto"/>
          <w:sz w:val="44"/>
          <w:szCs w:val="44"/>
          <w:highlight w:val="none"/>
          <w:lang w:val="zh-CN"/>
        </w:rPr>
        <w:t>拟签订的合同条款文本</w:t>
      </w:r>
    </w:p>
    <w:p w14:paraId="1FEC60B2">
      <w:pPr>
        <w:spacing w:before="78" w:line="360" w:lineRule="auto"/>
        <w:ind w:left="464"/>
        <w:rPr>
          <w:rFonts w:hint="eastAsia" w:ascii="仿宋" w:hAnsi="仿宋" w:eastAsia="仿宋" w:cs="仿宋"/>
          <w:sz w:val="24"/>
          <w:szCs w:val="24"/>
          <w:highlight w:val="none"/>
        </w:rPr>
      </w:pPr>
      <w:r>
        <w:rPr>
          <w:rFonts w:hint="eastAsia" w:ascii="仿宋" w:hAnsi="仿宋" w:eastAsia="仿宋" w:cs="仿宋"/>
          <w:spacing w:val="-8"/>
          <w:sz w:val="24"/>
          <w:szCs w:val="24"/>
          <w:highlight w:val="none"/>
          <w14:textOutline w14:w="4358" w14:cap="sq" w14:cmpd="sng">
            <w14:solidFill>
              <w14:srgbClr w14:val="000000"/>
            </w14:solidFill>
            <w14:prstDash w14:val="solid"/>
            <w14:bevel/>
          </w14:textOutline>
        </w:rPr>
        <w:t>甲方（采购人</w:t>
      </w: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sz w:val="24"/>
          <w:szCs w:val="24"/>
          <w:highlight w:val="none"/>
          <w:u w:val="single" w:color="auto"/>
        </w:rPr>
        <w:t xml:space="preserve">                              </w:t>
      </w:r>
    </w:p>
    <w:p w14:paraId="367F891F">
      <w:pPr>
        <w:spacing w:before="179" w:line="360" w:lineRule="auto"/>
        <w:ind w:left="449"/>
        <w:rPr>
          <w:rFonts w:hint="eastAsia" w:ascii="仿宋" w:hAnsi="仿宋" w:eastAsia="仿宋" w:cs="仿宋"/>
          <w:sz w:val="24"/>
          <w:szCs w:val="24"/>
          <w:highlight w:val="none"/>
        </w:rPr>
      </w:pP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乙方（中标供应商</w:t>
      </w:r>
      <w:r>
        <w:rPr>
          <w:rFonts w:hint="eastAsia" w:ascii="仿宋" w:hAnsi="仿宋" w:eastAsia="仿宋" w:cs="仿宋"/>
          <w:spacing w:val="6"/>
          <w:sz w:val="24"/>
          <w:szCs w:val="24"/>
          <w:highlight w:val="none"/>
          <w14:textOutline w14:w="4358" w14:cap="sq" w14:cmpd="sng">
            <w14:solidFill>
              <w14:srgbClr w14:val="000000"/>
            </w14:solidFill>
            <w14:prstDash w14:val="solid"/>
            <w14:bevel/>
          </w14:textOutline>
        </w:rPr>
        <w:t>）：</w:t>
      </w:r>
      <w:r>
        <w:rPr>
          <w:rFonts w:hint="eastAsia" w:ascii="仿宋" w:hAnsi="仿宋" w:eastAsia="仿宋" w:cs="仿宋"/>
          <w:sz w:val="24"/>
          <w:szCs w:val="24"/>
          <w:highlight w:val="none"/>
          <w:u w:val="single" w:color="auto"/>
        </w:rPr>
        <w:t xml:space="preserve">                              </w:t>
      </w:r>
    </w:p>
    <w:p w14:paraId="26FFCA5A">
      <w:pPr>
        <w:pStyle w:val="3"/>
        <w:spacing w:line="360" w:lineRule="auto"/>
        <w:rPr>
          <w:rFonts w:hint="eastAsia" w:ascii="仿宋" w:hAnsi="仿宋" w:eastAsia="仿宋" w:cs="仿宋"/>
          <w:highlight w:val="none"/>
        </w:rPr>
      </w:pPr>
    </w:p>
    <w:p w14:paraId="7D2E969B">
      <w:pPr>
        <w:tabs>
          <w:tab w:val="left" w:pos="3655"/>
        </w:tabs>
        <w:spacing w:before="78" w:line="360" w:lineRule="auto"/>
        <w:ind w:right="416" w:firstLine="480" w:firstLineChars="200"/>
        <w:jc w:val="both"/>
        <w:rPr>
          <w:rFonts w:hint="eastAsia" w:ascii="仿宋" w:hAnsi="仿宋" w:eastAsia="仿宋" w:cs="仿宋"/>
          <w:spacing w:val="-5"/>
          <w:sz w:val="24"/>
          <w:szCs w:val="24"/>
          <w:highlight w:val="none"/>
          <w:lang w:eastAsia="zh-CN"/>
        </w:rPr>
      </w:pPr>
      <w:r>
        <w:rPr>
          <w:rFonts w:hint="eastAsia" w:ascii="仿宋" w:hAnsi="仿宋" w:eastAsia="仿宋" w:cs="仿宋"/>
          <w:sz w:val="24"/>
          <w:szCs w:val="24"/>
          <w:highlight w:val="none"/>
          <w:u w:val="single" w:color="auto"/>
        </w:rPr>
        <w:tab/>
      </w:r>
      <w:r>
        <w:rPr>
          <w:rFonts w:hint="eastAsia" w:ascii="仿宋" w:hAnsi="仿宋" w:eastAsia="仿宋" w:cs="仿宋"/>
          <w:spacing w:val="-8"/>
          <w:sz w:val="24"/>
          <w:szCs w:val="24"/>
          <w:highlight w:val="none"/>
        </w:rPr>
        <w:t>（以下简</w:t>
      </w:r>
      <w:r>
        <w:rPr>
          <w:rFonts w:hint="eastAsia" w:ascii="仿宋" w:hAnsi="仿宋" w:eastAsia="仿宋" w:cs="仿宋"/>
          <w:spacing w:val="-4"/>
          <w:sz w:val="24"/>
          <w:szCs w:val="24"/>
          <w:highlight w:val="none"/>
        </w:rPr>
        <w:t>称“甲方”）按照《</w:t>
      </w:r>
      <w:r>
        <w:rPr>
          <w:rFonts w:hint="eastAsia" w:ascii="仿宋" w:hAnsi="仿宋" w:eastAsia="仿宋" w:cs="仿宋"/>
          <w:spacing w:val="-8"/>
          <w:sz w:val="24"/>
          <w:szCs w:val="24"/>
          <w:highlight w:val="none"/>
        </w:rPr>
        <w:t>中华人民共和国政府采购</w:t>
      </w:r>
      <w:r>
        <w:rPr>
          <w:rFonts w:hint="eastAsia" w:ascii="仿宋" w:hAnsi="仿宋" w:eastAsia="仿宋" w:cs="仿宋"/>
          <w:spacing w:val="-1"/>
          <w:sz w:val="24"/>
          <w:szCs w:val="24"/>
          <w:highlight w:val="none"/>
        </w:rPr>
        <w:t>法》、《中华人民共和国政府采购法实施条例》等法律法规及政府采购相关规定，通</w:t>
      </w:r>
      <w:r>
        <w:rPr>
          <w:rFonts w:hint="eastAsia" w:ascii="仿宋" w:hAnsi="仿宋" w:eastAsia="仿宋" w:cs="仿宋"/>
          <w:spacing w:val="-8"/>
          <w:sz w:val="24"/>
          <w:szCs w:val="24"/>
          <w:highlight w:val="none"/>
        </w:rPr>
        <w:t>过公开招标，经依法组成的评标委员会评审，并报采购人同意，确定</w:t>
      </w:r>
      <w:r>
        <w:rPr>
          <w:rFonts w:hint="eastAsia" w:ascii="仿宋" w:hAnsi="仿宋" w:eastAsia="仿宋" w:cs="仿宋"/>
          <w:spacing w:val="-8"/>
          <w:sz w:val="24"/>
          <w:szCs w:val="24"/>
          <w:highlight w:val="none"/>
          <w:u w:val="single" w:color="auto"/>
        </w:rPr>
        <w:t xml:space="preserve">            </w:t>
      </w:r>
      <w:r>
        <w:rPr>
          <w:rFonts w:hint="eastAsia" w:ascii="仿宋" w:hAnsi="仿宋" w:eastAsia="仿宋" w:cs="仿宋"/>
          <w:spacing w:val="-9"/>
          <w:sz w:val="24"/>
          <w:szCs w:val="24"/>
          <w:highlight w:val="none"/>
          <w:u w:val="single" w:color="auto"/>
        </w:rPr>
        <w:t xml:space="preserve"> </w:t>
      </w:r>
      <w:r>
        <w:rPr>
          <w:rFonts w:hint="eastAsia" w:ascii="仿宋" w:hAnsi="仿宋" w:eastAsia="仿宋" w:cs="仿宋"/>
          <w:spacing w:val="-9"/>
          <w:sz w:val="24"/>
          <w:szCs w:val="24"/>
          <w:highlight w:val="none"/>
        </w:rPr>
        <w:t>（以</w:t>
      </w:r>
      <w:r>
        <w:rPr>
          <w:rFonts w:hint="eastAsia" w:ascii="仿宋" w:hAnsi="仿宋" w:eastAsia="仿宋" w:cs="仿宋"/>
          <w:spacing w:val="-4"/>
          <w:sz w:val="24"/>
          <w:szCs w:val="24"/>
          <w:highlight w:val="none"/>
        </w:rPr>
        <w:t>下简称“乙方”）为“</w:t>
      </w:r>
      <w:r>
        <w:rPr>
          <w:rFonts w:hint="eastAsia" w:ascii="仿宋" w:hAnsi="仿宋" w:eastAsia="仿宋" w:cs="仿宋"/>
          <w:spacing w:val="-4"/>
          <w:sz w:val="24"/>
          <w:szCs w:val="24"/>
          <w:highlight w:val="none"/>
          <w:u w:val="single" w:color="auto"/>
        </w:rPr>
        <w:t xml:space="preserve">           </w:t>
      </w:r>
      <w:r>
        <w:rPr>
          <w:rFonts w:hint="eastAsia" w:ascii="仿宋" w:hAnsi="仿宋" w:eastAsia="仿宋" w:cs="仿宋"/>
          <w:spacing w:val="-4"/>
          <w:sz w:val="24"/>
          <w:szCs w:val="24"/>
          <w:highlight w:val="none"/>
        </w:rPr>
        <w:t>”的中标</w:t>
      </w:r>
      <w:r>
        <w:rPr>
          <w:rFonts w:hint="eastAsia" w:ascii="仿宋" w:hAnsi="仿宋" w:eastAsia="仿宋" w:cs="仿宋"/>
          <w:spacing w:val="-5"/>
          <w:sz w:val="24"/>
          <w:szCs w:val="24"/>
          <w:highlight w:val="none"/>
        </w:rPr>
        <w:t>供应商</w:t>
      </w:r>
      <w:r>
        <w:rPr>
          <w:rFonts w:hint="eastAsia" w:ascii="仿宋" w:hAnsi="仿宋" w:eastAsia="仿宋" w:cs="仿宋"/>
          <w:spacing w:val="-5"/>
          <w:sz w:val="24"/>
          <w:szCs w:val="24"/>
          <w:highlight w:val="none"/>
          <w:lang w:eastAsia="zh-CN"/>
        </w:rPr>
        <w:t>。</w:t>
      </w:r>
    </w:p>
    <w:p w14:paraId="18A88352">
      <w:pPr>
        <w:tabs>
          <w:tab w:val="left" w:pos="3655"/>
        </w:tabs>
        <w:spacing w:before="78" w:line="360" w:lineRule="auto"/>
        <w:ind w:right="416"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甲乙双方根据《中华人民共和国民法典》、《中华人民共和国政府采购法》等法律法规，本着平等、自愿、公平、互利和诚实信用的原则，经双方协商一致，同意签订本合同：</w:t>
      </w:r>
    </w:p>
    <w:p w14:paraId="1D5F07EF">
      <w:pPr>
        <w:spacing w:before="213" w:line="360" w:lineRule="auto"/>
        <w:ind w:left="922"/>
        <w:rPr>
          <w:rFonts w:hint="eastAsia" w:ascii="仿宋" w:hAnsi="仿宋" w:eastAsia="仿宋" w:cs="仿宋"/>
          <w:sz w:val="24"/>
          <w:szCs w:val="24"/>
          <w:highlight w:val="none"/>
        </w:rPr>
      </w:pP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1.货物内容：</w:t>
      </w:r>
      <w:r>
        <w:rPr>
          <w:rFonts w:hint="eastAsia" w:ascii="仿宋" w:hAnsi="仿宋" w:eastAsia="仿宋" w:cs="仿宋"/>
          <w:spacing w:val="-3"/>
          <w:sz w:val="24"/>
          <w:szCs w:val="24"/>
          <w:highlight w:val="none"/>
        </w:rPr>
        <w:t xml:space="preserve"> </w:t>
      </w:r>
      <w:r>
        <w:rPr>
          <w:rFonts w:hint="eastAsia" w:ascii="仿宋" w:hAnsi="仿宋" w:eastAsia="仿宋" w:cs="仿宋"/>
          <w:spacing w:val="-3"/>
          <w:sz w:val="24"/>
          <w:szCs w:val="24"/>
          <w:highlight w:val="none"/>
          <w:u w:val="single" w:color="auto"/>
        </w:rPr>
        <w:t xml:space="preserve">                                        </w:t>
      </w:r>
    </w:p>
    <w:p w14:paraId="092C48AA">
      <w:pPr>
        <w:spacing w:before="212" w:line="360" w:lineRule="auto"/>
        <w:ind w:left="907"/>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2.合同金额</w:t>
      </w:r>
    </w:p>
    <w:p w14:paraId="2DEBD0FF">
      <w:pPr>
        <w:spacing w:line="17" w:lineRule="exact"/>
        <w:rPr>
          <w:rFonts w:hint="eastAsia" w:ascii="仿宋" w:hAnsi="仿宋" w:eastAsia="仿宋" w:cs="仿宋"/>
          <w:highlight w:val="none"/>
        </w:rPr>
      </w:pPr>
    </w:p>
    <w:tbl>
      <w:tblPr>
        <w:tblStyle w:val="13"/>
        <w:tblW w:w="94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8"/>
        <w:gridCol w:w="1166"/>
        <w:gridCol w:w="1072"/>
        <w:gridCol w:w="1264"/>
        <w:gridCol w:w="836"/>
        <w:gridCol w:w="750"/>
        <w:gridCol w:w="1371"/>
        <w:gridCol w:w="1393"/>
        <w:gridCol w:w="1028"/>
      </w:tblGrid>
      <w:tr w14:paraId="460C6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9" w:hRule="atLeast"/>
          <w:jc w:val="center"/>
        </w:trPr>
        <w:tc>
          <w:tcPr>
            <w:tcW w:w="538" w:type="dxa"/>
            <w:vAlign w:val="center"/>
          </w:tcPr>
          <w:p w14:paraId="6B40A284">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序号</w:t>
            </w:r>
          </w:p>
        </w:tc>
        <w:tc>
          <w:tcPr>
            <w:tcW w:w="1166" w:type="dxa"/>
            <w:vAlign w:val="center"/>
          </w:tcPr>
          <w:p w14:paraId="60AFEBCD">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货物名称</w:t>
            </w:r>
          </w:p>
        </w:tc>
        <w:tc>
          <w:tcPr>
            <w:tcW w:w="1072" w:type="dxa"/>
            <w:vAlign w:val="center"/>
          </w:tcPr>
          <w:p w14:paraId="7CE11924">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规格型号</w:t>
            </w:r>
          </w:p>
        </w:tc>
        <w:tc>
          <w:tcPr>
            <w:tcW w:w="1264" w:type="dxa"/>
            <w:vAlign w:val="center"/>
          </w:tcPr>
          <w:p w14:paraId="6F61E048">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品牌或制造商</w:t>
            </w:r>
          </w:p>
        </w:tc>
        <w:tc>
          <w:tcPr>
            <w:tcW w:w="836" w:type="dxa"/>
            <w:vAlign w:val="center"/>
          </w:tcPr>
          <w:p w14:paraId="31A3AF1E">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单位</w:t>
            </w:r>
          </w:p>
        </w:tc>
        <w:tc>
          <w:tcPr>
            <w:tcW w:w="750" w:type="dxa"/>
            <w:vAlign w:val="center"/>
          </w:tcPr>
          <w:p w14:paraId="02DB527E">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数量</w:t>
            </w:r>
          </w:p>
        </w:tc>
        <w:tc>
          <w:tcPr>
            <w:tcW w:w="1371" w:type="dxa"/>
            <w:vAlign w:val="center"/>
          </w:tcPr>
          <w:p w14:paraId="2C464ADF">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固定单价</w:t>
            </w:r>
          </w:p>
          <w:p w14:paraId="3A469988">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（元）</w:t>
            </w:r>
          </w:p>
        </w:tc>
        <w:tc>
          <w:tcPr>
            <w:tcW w:w="1393" w:type="dxa"/>
            <w:vAlign w:val="center"/>
          </w:tcPr>
          <w:p w14:paraId="3E841A6D">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暂定总价</w:t>
            </w:r>
          </w:p>
          <w:p w14:paraId="254033FC">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（元）</w:t>
            </w:r>
          </w:p>
        </w:tc>
        <w:tc>
          <w:tcPr>
            <w:tcW w:w="1028" w:type="dxa"/>
            <w:vAlign w:val="center"/>
          </w:tcPr>
          <w:p w14:paraId="28903098">
            <w:pPr>
              <w:pStyle w:val="12"/>
              <w:spacing w:before="199" w:line="240" w:lineRule="auto"/>
              <w:jc w:val="center"/>
              <w:rPr>
                <w:rFonts w:hint="eastAsia" w:ascii="仿宋" w:hAnsi="仿宋" w:eastAsia="仿宋" w:cs="仿宋"/>
                <w:spacing w:val="-15"/>
                <w:position w:val="19"/>
                <w:highlight w:val="none"/>
              </w:rPr>
            </w:pPr>
            <w:r>
              <w:rPr>
                <w:rFonts w:hint="eastAsia" w:ascii="仿宋" w:hAnsi="仿宋" w:eastAsia="仿宋" w:cs="仿宋"/>
                <w:spacing w:val="-15"/>
                <w:position w:val="19"/>
                <w:highlight w:val="none"/>
              </w:rPr>
              <w:t>备注</w:t>
            </w:r>
          </w:p>
        </w:tc>
      </w:tr>
      <w:tr w14:paraId="01ED0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jc w:val="center"/>
        </w:trPr>
        <w:tc>
          <w:tcPr>
            <w:tcW w:w="538" w:type="dxa"/>
            <w:vAlign w:val="top"/>
          </w:tcPr>
          <w:p w14:paraId="0357D1A9">
            <w:pPr>
              <w:rPr>
                <w:rFonts w:hint="eastAsia" w:ascii="仿宋" w:hAnsi="仿宋" w:eastAsia="仿宋" w:cs="仿宋"/>
                <w:sz w:val="21"/>
                <w:highlight w:val="none"/>
              </w:rPr>
            </w:pPr>
          </w:p>
        </w:tc>
        <w:tc>
          <w:tcPr>
            <w:tcW w:w="1166" w:type="dxa"/>
            <w:vAlign w:val="top"/>
          </w:tcPr>
          <w:p w14:paraId="4FB4A9DB">
            <w:pPr>
              <w:rPr>
                <w:rFonts w:hint="eastAsia" w:ascii="仿宋" w:hAnsi="仿宋" w:eastAsia="仿宋" w:cs="仿宋"/>
                <w:sz w:val="21"/>
                <w:highlight w:val="none"/>
              </w:rPr>
            </w:pPr>
          </w:p>
        </w:tc>
        <w:tc>
          <w:tcPr>
            <w:tcW w:w="1072" w:type="dxa"/>
            <w:vAlign w:val="top"/>
          </w:tcPr>
          <w:p w14:paraId="4AD4E935">
            <w:pPr>
              <w:rPr>
                <w:rFonts w:hint="eastAsia" w:ascii="仿宋" w:hAnsi="仿宋" w:eastAsia="仿宋" w:cs="仿宋"/>
                <w:sz w:val="21"/>
                <w:highlight w:val="none"/>
              </w:rPr>
            </w:pPr>
          </w:p>
        </w:tc>
        <w:tc>
          <w:tcPr>
            <w:tcW w:w="1264" w:type="dxa"/>
            <w:vAlign w:val="top"/>
          </w:tcPr>
          <w:p w14:paraId="16B19524">
            <w:pPr>
              <w:rPr>
                <w:rFonts w:hint="eastAsia" w:ascii="仿宋" w:hAnsi="仿宋" w:eastAsia="仿宋" w:cs="仿宋"/>
                <w:sz w:val="21"/>
                <w:highlight w:val="none"/>
              </w:rPr>
            </w:pPr>
          </w:p>
        </w:tc>
        <w:tc>
          <w:tcPr>
            <w:tcW w:w="836" w:type="dxa"/>
            <w:vAlign w:val="top"/>
          </w:tcPr>
          <w:p w14:paraId="70D3B20D">
            <w:pPr>
              <w:rPr>
                <w:rFonts w:hint="eastAsia" w:ascii="仿宋" w:hAnsi="仿宋" w:eastAsia="仿宋" w:cs="仿宋"/>
                <w:sz w:val="21"/>
                <w:highlight w:val="none"/>
              </w:rPr>
            </w:pPr>
          </w:p>
        </w:tc>
        <w:tc>
          <w:tcPr>
            <w:tcW w:w="750" w:type="dxa"/>
            <w:vAlign w:val="top"/>
          </w:tcPr>
          <w:p w14:paraId="2675184A">
            <w:pPr>
              <w:rPr>
                <w:rFonts w:hint="eastAsia" w:ascii="仿宋" w:hAnsi="仿宋" w:eastAsia="仿宋" w:cs="仿宋"/>
                <w:sz w:val="21"/>
                <w:highlight w:val="none"/>
              </w:rPr>
            </w:pPr>
          </w:p>
        </w:tc>
        <w:tc>
          <w:tcPr>
            <w:tcW w:w="1371" w:type="dxa"/>
            <w:vAlign w:val="top"/>
          </w:tcPr>
          <w:p w14:paraId="46733FE5">
            <w:pPr>
              <w:rPr>
                <w:rFonts w:hint="eastAsia" w:ascii="仿宋" w:hAnsi="仿宋" w:eastAsia="仿宋" w:cs="仿宋"/>
                <w:sz w:val="21"/>
                <w:highlight w:val="none"/>
              </w:rPr>
            </w:pPr>
          </w:p>
        </w:tc>
        <w:tc>
          <w:tcPr>
            <w:tcW w:w="1393" w:type="dxa"/>
            <w:vAlign w:val="top"/>
          </w:tcPr>
          <w:p w14:paraId="6D1E1CAE">
            <w:pPr>
              <w:rPr>
                <w:rFonts w:hint="eastAsia" w:ascii="仿宋" w:hAnsi="仿宋" w:eastAsia="仿宋" w:cs="仿宋"/>
                <w:sz w:val="21"/>
                <w:highlight w:val="none"/>
              </w:rPr>
            </w:pPr>
          </w:p>
        </w:tc>
        <w:tc>
          <w:tcPr>
            <w:tcW w:w="1028" w:type="dxa"/>
            <w:vAlign w:val="top"/>
          </w:tcPr>
          <w:p w14:paraId="18F73845">
            <w:pPr>
              <w:rPr>
                <w:rFonts w:hint="eastAsia" w:ascii="仿宋" w:hAnsi="仿宋" w:eastAsia="仿宋" w:cs="仿宋"/>
                <w:sz w:val="21"/>
                <w:highlight w:val="none"/>
              </w:rPr>
            </w:pPr>
          </w:p>
        </w:tc>
      </w:tr>
      <w:tr w14:paraId="2486C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jc w:val="center"/>
        </w:trPr>
        <w:tc>
          <w:tcPr>
            <w:tcW w:w="538" w:type="dxa"/>
            <w:vAlign w:val="top"/>
          </w:tcPr>
          <w:p w14:paraId="5B9AB228">
            <w:pPr>
              <w:rPr>
                <w:rFonts w:hint="eastAsia" w:ascii="仿宋" w:hAnsi="仿宋" w:eastAsia="仿宋" w:cs="仿宋"/>
                <w:sz w:val="21"/>
                <w:highlight w:val="none"/>
              </w:rPr>
            </w:pPr>
          </w:p>
        </w:tc>
        <w:tc>
          <w:tcPr>
            <w:tcW w:w="1166" w:type="dxa"/>
            <w:vAlign w:val="top"/>
          </w:tcPr>
          <w:p w14:paraId="686412F5">
            <w:pPr>
              <w:rPr>
                <w:rFonts w:hint="eastAsia" w:ascii="仿宋" w:hAnsi="仿宋" w:eastAsia="仿宋" w:cs="仿宋"/>
                <w:sz w:val="21"/>
                <w:highlight w:val="none"/>
              </w:rPr>
            </w:pPr>
          </w:p>
        </w:tc>
        <w:tc>
          <w:tcPr>
            <w:tcW w:w="1072" w:type="dxa"/>
            <w:vAlign w:val="top"/>
          </w:tcPr>
          <w:p w14:paraId="1F48B6D9">
            <w:pPr>
              <w:rPr>
                <w:rFonts w:hint="eastAsia" w:ascii="仿宋" w:hAnsi="仿宋" w:eastAsia="仿宋" w:cs="仿宋"/>
                <w:sz w:val="21"/>
                <w:highlight w:val="none"/>
              </w:rPr>
            </w:pPr>
          </w:p>
        </w:tc>
        <w:tc>
          <w:tcPr>
            <w:tcW w:w="1264" w:type="dxa"/>
            <w:vAlign w:val="top"/>
          </w:tcPr>
          <w:p w14:paraId="5652B952">
            <w:pPr>
              <w:rPr>
                <w:rFonts w:hint="eastAsia" w:ascii="仿宋" w:hAnsi="仿宋" w:eastAsia="仿宋" w:cs="仿宋"/>
                <w:sz w:val="21"/>
                <w:highlight w:val="none"/>
              </w:rPr>
            </w:pPr>
          </w:p>
        </w:tc>
        <w:tc>
          <w:tcPr>
            <w:tcW w:w="836" w:type="dxa"/>
            <w:vAlign w:val="top"/>
          </w:tcPr>
          <w:p w14:paraId="20A1DF38">
            <w:pPr>
              <w:rPr>
                <w:rFonts w:hint="eastAsia" w:ascii="仿宋" w:hAnsi="仿宋" w:eastAsia="仿宋" w:cs="仿宋"/>
                <w:sz w:val="21"/>
                <w:highlight w:val="none"/>
              </w:rPr>
            </w:pPr>
          </w:p>
        </w:tc>
        <w:tc>
          <w:tcPr>
            <w:tcW w:w="750" w:type="dxa"/>
            <w:vAlign w:val="top"/>
          </w:tcPr>
          <w:p w14:paraId="7D4F9149">
            <w:pPr>
              <w:rPr>
                <w:rFonts w:hint="eastAsia" w:ascii="仿宋" w:hAnsi="仿宋" w:eastAsia="仿宋" w:cs="仿宋"/>
                <w:sz w:val="21"/>
                <w:highlight w:val="none"/>
              </w:rPr>
            </w:pPr>
          </w:p>
        </w:tc>
        <w:tc>
          <w:tcPr>
            <w:tcW w:w="1371" w:type="dxa"/>
            <w:vAlign w:val="top"/>
          </w:tcPr>
          <w:p w14:paraId="156621FB">
            <w:pPr>
              <w:rPr>
                <w:rFonts w:hint="eastAsia" w:ascii="仿宋" w:hAnsi="仿宋" w:eastAsia="仿宋" w:cs="仿宋"/>
                <w:sz w:val="21"/>
                <w:highlight w:val="none"/>
              </w:rPr>
            </w:pPr>
          </w:p>
        </w:tc>
        <w:tc>
          <w:tcPr>
            <w:tcW w:w="1393" w:type="dxa"/>
            <w:vAlign w:val="top"/>
          </w:tcPr>
          <w:p w14:paraId="35FF3190">
            <w:pPr>
              <w:rPr>
                <w:rFonts w:hint="eastAsia" w:ascii="仿宋" w:hAnsi="仿宋" w:eastAsia="仿宋" w:cs="仿宋"/>
                <w:sz w:val="21"/>
                <w:highlight w:val="none"/>
              </w:rPr>
            </w:pPr>
          </w:p>
        </w:tc>
        <w:tc>
          <w:tcPr>
            <w:tcW w:w="1028" w:type="dxa"/>
            <w:vAlign w:val="top"/>
          </w:tcPr>
          <w:p w14:paraId="67DF749C">
            <w:pPr>
              <w:rPr>
                <w:rFonts w:hint="eastAsia" w:ascii="仿宋" w:hAnsi="仿宋" w:eastAsia="仿宋" w:cs="仿宋"/>
                <w:sz w:val="21"/>
                <w:highlight w:val="none"/>
              </w:rPr>
            </w:pPr>
          </w:p>
        </w:tc>
      </w:tr>
      <w:tr w14:paraId="5BE19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jc w:val="center"/>
        </w:trPr>
        <w:tc>
          <w:tcPr>
            <w:tcW w:w="538" w:type="dxa"/>
            <w:vAlign w:val="top"/>
          </w:tcPr>
          <w:p w14:paraId="34DECC83">
            <w:pPr>
              <w:rPr>
                <w:rFonts w:hint="eastAsia" w:ascii="仿宋" w:hAnsi="仿宋" w:eastAsia="仿宋" w:cs="仿宋"/>
                <w:sz w:val="21"/>
                <w:highlight w:val="none"/>
              </w:rPr>
            </w:pPr>
          </w:p>
        </w:tc>
        <w:tc>
          <w:tcPr>
            <w:tcW w:w="1166" w:type="dxa"/>
            <w:vAlign w:val="top"/>
          </w:tcPr>
          <w:p w14:paraId="7D01229D">
            <w:pPr>
              <w:rPr>
                <w:rFonts w:hint="eastAsia" w:ascii="仿宋" w:hAnsi="仿宋" w:eastAsia="仿宋" w:cs="仿宋"/>
                <w:sz w:val="21"/>
                <w:highlight w:val="none"/>
              </w:rPr>
            </w:pPr>
          </w:p>
        </w:tc>
        <w:tc>
          <w:tcPr>
            <w:tcW w:w="1072" w:type="dxa"/>
            <w:vAlign w:val="top"/>
          </w:tcPr>
          <w:p w14:paraId="0F5D81A2">
            <w:pPr>
              <w:rPr>
                <w:rFonts w:hint="eastAsia" w:ascii="仿宋" w:hAnsi="仿宋" w:eastAsia="仿宋" w:cs="仿宋"/>
                <w:sz w:val="21"/>
                <w:highlight w:val="none"/>
              </w:rPr>
            </w:pPr>
          </w:p>
        </w:tc>
        <w:tc>
          <w:tcPr>
            <w:tcW w:w="1264" w:type="dxa"/>
            <w:vAlign w:val="top"/>
          </w:tcPr>
          <w:p w14:paraId="34A982DD">
            <w:pPr>
              <w:rPr>
                <w:rFonts w:hint="eastAsia" w:ascii="仿宋" w:hAnsi="仿宋" w:eastAsia="仿宋" w:cs="仿宋"/>
                <w:sz w:val="21"/>
                <w:highlight w:val="none"/>
              </w:rPr>
            </w:pPr>
          </w:p>
        </w:tc>
        <w:tc>
          <w:tcPr>
            <w:tcW w:w="836" w:type="dxa"/>
            <w:vAlign w:val="top"/>
          </w:tcPr>
          <w:p w14:paraId="6AA06FFF">
            <w:pPr>
              <w:rPr>
                <w:rFonts w:hint="eastAsia" w:ascii="仿宋" w:hAnsi="仿宋" w:eastAsia="仿宋" w:cs="仿宋"/>
                <w:sz w:val="21"/>
                <w:highlight w:val="none"/>
              </w:rPr>
            </w:pPr>
          </w:p>
        </w:tc>
        <w:tc>
          <w:tcPr>
            <w:tcW w:w="750" w:type="dxa"/>
            <w:vAlign w:val="top"/>
          </w:tcPr>
          <w:p w14:paraId="00419F96">
            <w:pPr>
              <w:rPr>
                <w:rFonts w:hint="eastAsia" w:ascii="仿宋" w:hAnsi="仿宋" w:eastAsia="仿宋" w:cs="仿宋"/>
                <w:sz w:val="21"/>
                <w:highlight w:val="none"/>
              </w:rPr>
            </w:pPr>
          </w:p>
        </w:tc>
        <w:tc>
          <w:tcPr>
            <w:tcW w:w="1371" w:type="dxa"/>
            <w:vAlign w:val="top"/>
          </w:tcPr>
          <w:p w14:paraId="24BD3987">
            <w:pPr>
              <w:rPr>
                <w:rFonts w:hint="eastAsia" w:ascii="仿宋" w:hAnsi="仿宋" w:eastAsia="仿宋" w:cs="仿宋"/>
                <w:sz w:val="21"/>
                <w:highlight w:val="none"/>
              </w:rPr>
            </w:pPr>
          </w:p>
        </w:tc>
        <w:tc>
          <w:tcPr>
            <w:tcW w:w="1393" w:type="dxa"/>
            <w:vAlign w:val="top"/>
          </w:tcPr>
          <w:p w14:paraId="5283EC4F">
            <w:pPr>
              <w:rPr>
                <w:rFonts w:hint="eastAsia" w:ascii="仿宋" w:hAnsi="仿宋" w:eastAsia="仿宋" w:cs="仿宋"/>
                <w:sz w:val="21"/>
                <w:highlight w:val="none"/>
              </w:rPr>
            </w:pPr>
          </w:p>
        </w:tc>
        <w:tc>
          <w:tcPr>
            <w:tcW w:w="1028" w:type="dxa"/>
            <w:vAlign w:val="top"/>
          </w:tcPr>
          <w:p w14:paraId="68CF0E89">
            <w:pPr>
              <w:rPr>
                <w:rFonts w:hint="eastAsia" w:ascii="仿宋" w:hAnsi="仿宋" w:eastAsia="仿宋" w:cs="仿宋"/>
                <w:sz w:val="21"/>
                <w:highlight w:val="none"/>
              </w:rPr>
            </w:pPr>
          </w:p>
        </w:tc>
      </w:tr>
      <w:tr w14:paraId="0A1E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jc w:val="center"/>
        </w:trPr>
        <w:tc>
          <w:tcPr>
            <w:tcW w:w="538" w:type="dxa"/>
            <w:vAlign w:val="top"/>
          </w:tcPr>
          <w:p w14:paraId="618E7DA2">
            <w:pPr>
              <w:rPr>
                <w:rFonts w:hint="eastAsia" w:ascii="仿宋" w:hAnsi="仿宋" w:eastAsia="仿宋" w:cs="仿宋"/>
                <w:sz w:val="21"/>
                <w:highlight w:val="none"/>
              </w:rPr>
            </w:pPr>
          </w:p>
        </w:tc>
        <w:tc>
          <w:tcPr>
            <w:tcW w:w="3502" w:type="dxa"/>
            <w:gridSpan w:val="3"/>
            <w:vAlign w:val="top"/>
          </w:tcPr>
          <w:p w14:paraId="5343009B">
            <w:pPr>
              <w:pStyle w:val="12"/>
              <w:spacing w:before="199" w:line="222" w:lineRule="auto"/>
              <w:ind w:left="604"/>
              <w:rPr>
                <w:rFonts w:hint="eastAsia" w:ascii="仿宋" w:hAnsi="仿宋" w:eastAsia="仿宋" w:cs="仿宋"/>
                <w:highlight w:val="none"/>
              </w:rPr>
            </w:pPr>
            <w:r>
              <w:rPr>
                <w:rFonts w:hint="eastAsia" w:ascii="仿宋" w:hAnsi="仿宋" w:eastAsia="仿宋" w:cs="仿宋"/>
                <w:spacing w:val="-12"/>
                <w:highlight w:val="none"/>
              </w:rPr>
              <w:t>合计</w:t>
            </w:r>
          </w:p>
        </w:tc>
        <w:tc>
          <w:tcPr>
            <w:tcW w:w="836" w:type="dxa"/>
            <w:vAlign w:val="top"/>
          </w:tcPr>
          <w:p w14:paraId="67816962">
            <w:pPr>
              <w:rPr>
                <w:rFonts w:hint="eastAsia" w:ascii="仿宋" w:hAnsi="仿宋" w:eastAsia="仿宋" w:cs="仿宋"/>
                <w:sz w:val="21"/>
                <w:highlight w:val="none"/>
              </w:rPr>
            </w:pPr>
          </w:p>
        </w:tc>
        <w:tc>
          <w:tcPr>
            <w:tcW w:w="750" w:type="dxa"/>
            <w:vAlign w:val="top"/>
          </w:tcPr>
          <w:p w14:paraId="53EC81F1">
            <w:pPr>
              <w:rPr>
                <w:rFonts w:hint="eastAsia" w:ascii="仿宋" w:hAnsi="仿宋" w:eastAsia="仿宋" w:cs="仿宋"/>
                <w:sz w:val="21"/>
                <w:highlight w:val="none"/>
              </w:rPr>
            </w:pPr>
          </w:p>
        </w:tc>
        <w:tc>
          <w:tcPr>
            <w:tcW w:w="1371" w:type="dxa"/>
            <w:vAlign w:val="top"/>
          </w:tcPr>
          <w:p w14:paraId="39C56E43">
            <w:pPr>
              <w:rPr>
                <w:rFonts w:hint="eastAsia" w:ascii="仿宋" w:hAnsi="仿宋" w:eastAsia="仿宋" w:cs="仿宋"/>
                <w:sz w:val="21"/>
                <w:highlight w:val="none"/>
              </w:rPr>
            </w:pPr>
          </w:p>
        </w:tc>
        <w:tc>
          <w:tcPr>
            <w:tcW w:w="1393" w:type="dxa"/>
            <w:vAlign w:val="top"/>
          </w:tcPr>
          <w:p w14:paraId="6392C437">
            <w:pPr>
              <w:rPr>
                <w:rFonts w:hint="eastAsia" w:ascii="仿宋" w:hAnsi="仿宋" w:eastAsia="仿宋" w:cs="仿宋"/>
                <w:sz w:val="21"/>
                <w:highlight w:val="none"/>
              </w:rPr>
            </w:pPr>
          </w:p>
        </w:tc>
        <w:tc>
          <w:tcPr>
            <w:tcW w:w="1028" w:type="dxa"/>
            <w:vAlign w:val="top"/>
          </w:tcPr>
          <w:p w14:paraId="04B6FF42">
            <w:pPr>
              <w:rPr>
                <w:rFonts w:hint="eastAsia" w:ascii="仿宋" w:hAnsi="仿宋" w:eastAsia="仿宋" w:cs="仿宋"/>
                <w:sz w:val="21"/>
                <w:highlight w:val="none"/>
              </w:rPr>
            </w:pPr>
          </w:p>
        </w:tc>
      </w:tr>
    </w:tbl>
    <w:p w14:paraId="14CADFFD">
      <w:pPr>
        <w:tabs>
          <w:tab w:val="left" w:pos="3655"/>
        </w:tabs>
        <w:spacing w:before="78" w:line="360" w:lineRule="auto"/>
        <w:ind w:right="416" w:firstLine="476" w:firstLineChars="200"/>
        <w:jc w:val="both"/>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2.1 本合同暂定总金额为人民币（大写）：</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元(￥</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元），最终以中标供应商中标单价和采购人实际需求数量结算为准。</w:t>
      </w:r>
    </w:p>
    <w:p w14:paraId="25B70E7F">
      <w:pPr>
        <w:spacing w:before="47" w:line="360" w:lineRule="auto"/>
        <w:ind w:left="2" w:right="93" w:firstLine="478" w:firstLineChars="201"/>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2.2 合同价款中包含但不仅限于：货物的设计、采购、制造、供货、标准附件（含为完成安装及交付使用所必须增加的附件或配件）、备品备件、易损件、工具、厂家赠品、原材料及生产制造、检验（包括海关、商检、技术监督局检验等）、包装、运输、各种保险、海关手续费、附加税、利润、关税、购置税、车船使用税和费、牌照费、印花税、消费税、增值税、仓储费、附加费、各项费用成本、管理费、运杂费、装卸费、手续费、生产、销售过程中的税费、合理利润及风险、安装、调试、维护、</w:t>
      </w:r>
      <w:r>
        <w:rPr>
          <w:rFonts w:hint="eastAsia" w:ascii="仿宋" w:hAnsi="仿宋" w:eastAsia="仿宋" w:cs="仿宋"/>
          <w:spacing w:val="18"/>
          <w:sz w:val="24"/>
          <w:szCs w:val="24"/>
          <w:highlight w:val="none"/>
        </w:rPr>
        <w:t xml:space="preserve"> </w:t>
      </w:r>
      <w:r>
        <w:rPr>
          <w:rFonts w:hint="eastAsia" w:ascii="仿宋" w:hAnsi="仿宋" w:eastAsia="仿宋" w:cs="仿宋"/>
          <w:spacing w:val="-1"/>
          <w:sz w:val="24"/>
          <w:szCs w:val="24"/>
          <w:highlight w:val="none"/>
        </w:rPr>
        <w:t>检测、验收（含第三方验收）、技术服务、培训、售后服务、采购代理服务费等一切费用，同时还应充分考虑为完成本项目所需的一切成本、利润、税金和风险。</w:t>
      </w:r>
    </w:p>
    <w:p w14:paraId="49DAF4F3">
      <w:pPr>
        <w:spacing w:before="47" w:line="360" w:lineRule="auto"/>
        <w:ind w:left="2" w:right="93" w:firstLine="478" w:firstLineChars="201"/>
        <w:rPr>
          <w:rFonts w:hint="eastAsia" w:ascii="仿宋" w:hAnsi="仿宋" w:eastAsia="仿宋" w:cs="仿宋"/>
          <w:spacing w:val="-1"/>
          <w:sz w:val="24"/>
          <w:szCs w:val="24"/>
          <w:highlight w:val="none"/>
          <w:lang w:eastAsia="zh-CN"/>
        </w:rPr>
      </w:pPr>
      <w:r>
        <w:rPr>
          <w:rFonts w:hint="eastAsia" w:ascii="仿宋" w:hAnsi="仿宋" w:eastAsia="仿宋" w:cs="仿宋"/>
          <w:spacing w:val="-1"/>
          <w:sz w:val="24"/>
          <w:szCs w:val="24"/>
          <w:highlight w:val="none"/>
        </w:rPr>
        <w:t>2.3 除上述因素外，合同价款中还考虑了办理车辆报价中含车辆购置税、 车辆挂牌费、车辆保险费。车辆投保险种及要求：交强险</w:t>
      </w:r>
      <w:r>
        <w:rPr>
          <w:rFonts w:hint="eastAsia" w:ascii="仿宋" w:hAnsi="仿宋" w:eastAsia="仿宋" w:cs="仿宋"/>
          <w:spacing w:val="-1"/>
          <w:sz w:val="24"/>
          <w:szCs w:val="24"/>
          <w:highlight w:val="none"/>
          <w:lang w:eastAsia="zh-CN"/>
        </w:rPr>
        <w:t>。</w:t>
      </w:r>
    </w:p>
    <w:p w14:paraId="12803093">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2.4 合同价款不因市场及政策变化因素的影响而予以调整。</w:t>
      </w:r>
    </w:p>
    <w:p w14:paraId="13DABE2D">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2.5 乙方发现合同价款中有遗漏或存在部分内容未报价者，甲方将按乙方漏报或 未报价内容的费用已包含在合同总价中对待，在签订合同或合同履行过程中或款项结 算时不予任何费用的追加或更改，乙方也不得因漏报或未报价内容而拒绝完全履行合同，否则甲方有权按乙方违约进行处理。</w:t>
      </w:r>
    </w:p>
    <w:p w14:paraId="42BE5B9A">
      <w:pPr>
        <w:spacing w:before="212" w:line="360" w:lineRule="auto"/>
        <w:ind w:left="478"/>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3.技术资料</w:t>
      </w:r>
    </w:p>
    <w:p w14:paraId="02F6923C">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3.1 乙方按产生文件规定的时间向甲方提供使用货物的有关技术资料。</w:t>
      </w:r>
    </w:p>
    <w:p w14:paraId="0D9DF7D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3.2 没有甲方事先书面同意，乙方不得将由甲方提供的有关合同或任何合同条文、规格、计划、图纸、样品或资料提供给与履行本合同无关的任何其他人。</w:t>
      </w:r>
    </w:p>
    <w:p w14:paraId="135314D3">
      <w:pPr>
        <w:spacing w:before="216" w:line="360" w:lineRule="auto"/>
        <w:ind w:left="472"/>
        <w:outlineLvl w:val="1"/>
        <w:rPr>
          <w:rFonts w:hint="eastAsia" w:ascii="仿宋" w:hAnsi="仿宋" w:eastAsia="仿宋" w:cs="仿宋"/>
          <w:sz w:val="24"/>
          <w:szCs w:val="24"/>
          <w:highlight w:val="none"/>
        </w:rPr>
      </w:pPr>
      <w:r>
        <w:rPr>
          <w:rFonts w:hint="eastAsia" w:ascii="仿宋" w:hAnsi="仿宋" w:eastAsia="仿宋" w:cs="仿宋"/>
          <w:spacing w:val="-1"/>
          <w:sz w:val="24"/>
          <w:szCs w:val="24"/>
          <w:highlight w:val="none"/>
          <w14:textOutline w14:w="4358" w14:cap="sq" w14:cmpd="sng">
            <w14:solidFill>
              <w14:srgbClr w14:val="000000"/>
            </w14:solidFill>
            <w14:prstDash w14:val="solid"/>
            <w14:bevel/>
          </w14:textOutline>
        </w:rPr>
        <w:t>4.知识产权</w:t>
      </w:r>
    </w:p>
    <w:p w14:paraId="38FCB47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乙方应保证，甲方在使用其产品和服务的全部或任何部分时，免受第三方提出的侵犯专利权、商标权或其他知识产权的起诉。</w:t>
      </w:r>
    </w:p>
    <w:p w14:paraId="2D3D698E">
      <w:pPr>
        <w:spacing w:before="214" w:line="360" w:lineRule="auto"/>
        <w:ind w:left="478"/>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5.产权担保</w:t>
      </w:r>
    </w:p>
    <w:p w14:paraId="5AF05C89">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乙方保证所交付的货物的所有权完全属于乙方且无任何抵押、查封等产权瑕疵。</w:t>
      </w:r>
    </w:p>
    <w:p w14:paraId="2225B759">
      <w:pPr>
        <w:spacing w:before="212" w:line="360" w:lineRule="auto"/>
        <w:ind w:left="475"/>
        <w:rPr>
          <w:rFonts w:hint="eastAsia" w:ascii="仿宋" w:hAnsi="仿宋" w:eastAsia="仿宋" w:cs="仿宋"/>
          <w:sz w:val="24"/>
          <w:szCs w:val="24"/>
          <w:highlight w:val="none"/>
        </w:rPr>
      </w:pPr>
      <w:r>
        <w:rPr>
          <w:rFonts w:hint="eastAsia" w:ascii="仿宋" w:hAnsi="仿宋" w:eastAsia="仿宋" w:cs="仿宋"/>
          <w:spacing w:val="-1"/>
          <w:position w:val="19"/>
          <w:sz w:val="24"/>
          <w:szCs w:val="24"/>
          <w:highlight w:val="none"/>
          <w14:textOutline w14:w="4358" w14:cap="sq" w14:cmpd="sng">
            <w14:solidFill>
              <w14:srgbClr w14:val="000000"/>
            </w14:solidFill>
            <w14:prstDash w14:val="solid"/>
            <w14:bevel/>
          </w14:textOutline>
        </w:rPr>
        <w:t>6.本项目无履约保证金。</w:t>
      </w:r>
    </w:p>
    <w:p w14:paraId="4B0067A3">
      <w:pPr>
        <w:spacing w:before="1" w:line="360" w:lineRule="auto"/>
        <w:ind w:left="479"/>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7.转包或分包</w:t>
      </w:r>
    </w:p>
    <w:p w14:paraId="4DABF012">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7.1 本合同范围内的货物，由乙方直接供应，不得转让他人供应。</w:t>
      </w:r>
    </w:p>
    <w:p w14:paraId="44E3CC3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7.2 除非得到甲方的书面同意，乙方不得将本合同项下内容全部或部分分包给他人供应。</w:t>
      </w:r>
    </w:p>
    <w:p w14:paraId="1A19DE34">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7.3 如有转让和未经甲方同意的分包行为，甲方有权给予终止合同。</w:t>
      </w:r>
    </w:p>
    <w:p w14:paraId="68AF5C41">
      <w:pPr>
        <w:spacing w:before="214" w:line="360" w:lineRule="auto"/>
        <w:ind w:left="473"/>
        <w:outlineLvl w:val="1"/>
        <w:rPr>
          <w:rFonts w:hint="eastAsia" w:ascii="仿宋" w:hAnsi="仿宋" w:eastAsia="仿宋" w:cs="仿宋"/>
          <w:sz w:val="24"/>
          <w:szCs w:val="24"/>
          <w:highlight w:val="none"/>
        </w:rPr>
      </w:pPr>
      <w:r>
        <w:rPr>
          <w:rFonts w:hint="eastAsia" w:ascii="仿宋" w:hAnsi="仿宋" w:eastAsia="仿宋" w:cs="仿宋"/>
          <w:sz w:val="24"/>
          <w:szCs w:val="24"/>
          <w:highlight w:val="none"/>
          <w14:textOutline w14:w="4358" w14:cap="sq" w14:cmpd="sng">
            <w14:solidFill>
              <w14:srgbClr w14:val="000000"/>
            </w14:solidFill>
            <w14:prstDash w14:val="solid"/>
            <w14:bevel/>
          </w14:textOutline>
        </w:rPr>
        <w:t>8.交货期、交货方式及交货地点</w:t>
      </w:r>
    </w:p>
    <w:p w14:paraId="31E11338">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8.1 交货期：</w:t>
      </w:r>
      <w:r>
        <w:rPr>
          <w:rFonts w:hint="eastAsia" w:ascii="仿宋" w:hAnsi="仿宋" w:eastAsia="仿宋" w:cs="仿宋"/>
          <w:spacing w:val="-1"/>
          <w:sz w:val="24"/>
          <w:szCs w:val="24"/>
          <w:highlight w:val="none"/>
          <w:u w:val="single"/>
          <w:lang w:val="en-US" w:eastAsia="zh-CN"/>
        </w:rPr>
        <w:t xml:space="preserve"> 自合同签订之日起45个日历日内完成交付。</w:t>
      </w:r>
      <w:r>
        <w:rPr>
          <w:rFonts w:hint="eastAsia" w:ascii="仿宋" w:hAnsi="仿宋" w:eastAsia="仿宋" w:cs="仿宋"/>
          <w:spacing w:val="-1"/>
          <w:sz w:val="24"/>
          <w:szCs w:val="24"/>
          <w:highlight w:val="none"/>
          <w:u w:val="single"/>
        </w:rPr>
        <w:t xml:space="preserve"> </w:t>
      </w:r>
    </w:p>
    <w:p w14:paraId="6353D5F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8.2 交货方式：</w:t>
      </w:r>
      <w:r>
        <w:rPr>
          <w:rFonts w:hint="eastAsia" w:ascii="仿宋" w:hAnsi="仿宋" w:eastAsia="仿宋" w:cs="仿宋"/>
          <w:spacing w:val="-1"/>
          <w:sz w:val="24"/>
          <w:szCs w:val="24"/>
          <w:highlight w:val="none"/>
          <w:u w:val="single"/>
        </w:rPr>
        <w:t>以甲方实际要求为准。</w:t>
      </w:r>
      <w:r>
        <w:rPr>
          <w:rFonts w:hint="eastAsia" w:ascii="仿宋" w:hAnsi="仿宋" w:eastAsia="仿宋" w:cs="仿宋"/>
          <w:spacing w:val="-1"/>
          <w:sz w:val="24"/>
          <w:szCs w:val="24"/>
          <w:highlight w:val="none"/>
        </w:rPr>
        <w:t xml:space="preserve">  </w:t>
      </w:r>
    </w:p>
    <w:p w14:paraId="4B208964">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8.3 交货地点：</w:t>
      </w:r>
      <w:r>
        <w:rPr>
          <w:rFonts w:hint="eastAsia" w:ascii="仿宋" w:hAnsi="仿宋" w:eastAsia="仿宋" w:cs="仿宋"/>
          <w:spacing w:val="-1"/>
          <w:sz w:val="24"/>
          <w:szCs w:val="24"/>
          <w:highlight w:val="none"/>
          <w:u w:val="single"/>
        </w:rPr>
        <w:t xml:space="preserve"> 甲方指定地点。</w:t>
      </w:r>
      <w:r>
        <w:rPr>
          <w:rFonts w:hint="eastAsia" w:ascii="仿宋" w:hAnsi="仿宋" w:eastAsia="仿宋" w:cs="仿宋"/>
          <w:spacing w:val="-1"/>
          <w:sz w:val="24"/>
          <w:szCs w:val="24"/>
          <w:highlight w:val="none"/>
        </w:rPr>
        <w:t xml:space="preserve">        </w:t>
      </w:r>
    </w:p>
    <w:p w14:paraId="46A731EC">
      <w:pPr>
        <w:spacing w:before="212" w:line="360" w:lineRule="auto"/>
        <w:ind w:left="473"/>
        <w:outlineLvl w:val="1"/>
        <w:rPr>
          <w:rFonts w:hint="eastAsia" w:ascii="仿宋" w:hAnsi="仿宋" w:eastAsia="仿宋" w:cs="仿宋"/>
          <w:sz w:val="24"/>
          <w:szCs w:val="24"/>
          <w:highlight w:val="none"/>
        </w:rPr>
      </w:pPr>
      <w:r>
        <w:rPr>
          <w:rFonts w:hint="eastAsia" w:ascii="仿宋" w:hAnsi="仿宋" w:eastAsia="仿宋" w:cs="仿宋"/>
          <w:spacing w:val="-1"/>
          <w:sz w:val="24"/>
          <w:szCs w:val="24"/>
          <w:highlight w:val="none"/>
          <w14:textOutline w14:w="4358" w14:cap="sq" w14:cmpd="sng">
            <w14:solidFill>
              <w14:srgbClr w14:val="000000"/>
            </w14:solidFill>
            <w14:prstDash w14:val="solid"/>
            <w14:bevel/>
          </w14:textOutline>
        </w:rPr>
        <w:t>9.合同款结算与支付</w:t>
      </w:r>
    </w:p>
    <w:p w14:paraId="1D857E8D">
      <w:pPr>
        <w:spacing w:line="560" w:lineRule="exact"/>
        <w:ind w:firstLine="476" w:firstLineChars="200"/>
        <w:rPr>
          <w:rFonts w:hint="eastAsia" w:ascii="仿宋" w:hAnsi="仿宋" w:eastAsia="仿宋" w:cs="仿宋"/>
          <w:spacing w:val="-1"/>
          <w:sz w:val="24"/>
          <w:szCs w:val="24"/>
          <w:highlight w:val="none"/>
          <w:u w:val="single"/>
          <w:lang w:val="en-US" w:eastAsia="zh-CN"/>
        </w:rPr>
      </w:pPr>
      <w:r>
        <w:rPr>
          <w:rFonts w:hint="eastAsia" w:ascii="仿宋" w:hAnsi="仿宋" w:eastAsia="仿宋" w:cs="仿宋"/>
          <w:spacing w:val="-1"/>
          <w:sz w:val="24"/>
          <w:szCs w:val="24"/>
          <w:highlight w:val="none"/>
        </w:rPr>
        <w:t>9.1 合同款的支付：</w:t>
      </w:r>
      <w:r>
        <w:rPr>
          <w:rFonts w:ascii="仿宋_GB2312" w:hAnsi="仿宋_GB2312" w:eastAsia="仿宋_GB2312" w:cs="仿宋_GB2312"/>
          <w:sz w:val="24"/>
          <w:szCs w:val="24"/>
          <w:u w:val="single"/>
        </w:rPr>
        <w:t xml:space="preserve"> 合同签订后</w:t>
      </w:r>
      <w:r>
        <w:rPr>
          <w:rFonts w:hint="eastAsia" w:ascii="仿宋_GB2312" w:hAnsi="仿宋_GB2312" w:eastAsia="仿宋_GB2312" w:cs="仿宋_GB2312"/>
          <w:sz w:val="24"/>
          <w:szCs w:val="24"/>
          <w:u w:val="single"/>
          <w:lang w:eastAsia="zh-CN"/>
        </w:rPr>
        <w:t>，</w:t>
      </w:r>
      <w:r>
        <w:rPr>
          <w:rFonts w:ascii="仿宋_GB2312" w:hAnsi="仿宋_GB2312" w:eastAsia="仿宋_GB2312" w:cs="仿宋_GB2312"/>
          <w:sz w:val="24"/>
          <w:szCs w:val="24"/>
          <w:u w:val="single"/>
        </w:rPr>
        <w:t xml:space="preserve">全部交付调试完毕达到使用标准，验收合格后 ，达到付款条件起 </w:t>
      </w:r>
      <w:r>
        <w:rPr>
          <w:rFonts w:hint="eastAsia" w:ascii="仿宋_GB2312" w:hAnsi="仿宋_GB2312" w:eastAsia="仿宋_GB2312" w:cs="仿宋_GB2312"/>
          <w:sz w:val="24"/>
          <w:szCs w:val="24"/>
          <w:u w:val="single"/>
          <w:lang w:val="en-US" w:eastAsia="zh-CN"/>
        </w:rPr>
        <w:t>30</w:t>
      </w:r>
      <w:r>
        <w:rPr>
          <w:rFonts w:ascii="仿宋_GB2312" w:hAnsi="仿宋_GB2312" w:eastAsia="仿宋_GB2312" w:cs="仿宋_GB2312"/>
          <w:sz w:val="24"/>
          <w:szCs w:val="24"/>
          <w:u w:val="single"/>
        </w:rPr>
        <w:t xml:space="preserve"> 日内，支付合同总金额的 100.00%。</w:t>
      </w:r>
    </w:p>
    <w:p w14:paraId="69DFD8F2">
      <w:pPr>
        <w:spacing w:line="560" w:lineRule="exact"/>
        <w:ind w:firstLine="476" w:firstLineChars="200"/>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9.2 结算方式：银行转账。</w:t>
      </w:r>
    </w:p>
    <w:p w14:paraId="2C0BE0B7">
      <w:pPr>
        <w:spacing w:before="217" w:line="360" w:lineRule="auto"/>
        <w:ind w:left="490"/>
        <w:outlineLvl w:val="1"/>
        <w:rPr>
          <w:rFonts w:hint="eastAsia" w:ascii="仿宋" w:hAnsi="仿宋" w:eastAsia="仿宋" w:cs="仿宋"/>
          <w:sz w:val="24"/>
          <w:szCs w:val="24"/>
          <w:highlight w:val="none"/>
        </w:rPr>
      </w:pPr>
      <w:r>
        <w:rPr>
          <w:rFonts w:hint="eastAsia" w:ascii="仿宋" w:hAnsi="仿宋" w:eastAsia="仿宋" w:cs="仿宋"/>
          <w:spacing w:val="-6"/>
          <w:sz w:val="24"/>
          <w:szCs w:val="24"/>
          <w:highlight w:val="none"/>
          <w14:textOutline w14:w="4358" w14:cap="sq" w14:cmpd="sng">
            <w14:solidFill>
              <w14:srgbClr w14:val="000000"/>
            </w14:solidFill>
            <w14:prstDash w14:val="solid"/>
            <w14:bevel/>
          </w14:textOutline>
        </w:rPr>
        <w:t>10.税费</w:t>
      </w:r>
    </w:p>
    <w:p w14:paraId="69F082D5">
      <w:pPr>
        <w:spacing w:before="210" w:line="360" w:lineRule="auto"/>
        <w:ind w:left="480"/>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本合同执行中相关的一切税费均由乙方负担。</w:t>
      </w:r>
    </w:p>
    <w:p w14:paraId="3F445235">
      <w:pPr>
        <w:spacing w:before="212" w:line="360" w:lineRule="auto"/>
        <w:ind w:left="490"/>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11.货物包装、发运及运输</w:t>
      </w:r>
    </w:p>
    <w:p w14:paraId="694769F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11.1 乙方在货物发运前对其进行满足运输距离、防潮、防震、防锈和防破损装卸等要求包装，以保证货物安全运达甲方指定地点。</w:t>
      </w:r>
    </w:p>
    <w:p w14:paraId="2DE3DA7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11.2 乙方负责所有产品的运输。确保产品安全、完整到达使用地点，运杂费用包 含在总价内，包括产品从供货地点到使用地点的运输费、保险费、搬运费、装卸费、仓储费等。</w:t>
      </w:r>
    </w:p>
    <w:p w14:paraId="19D11BA1">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11.3 使用说明书、质量检验证明书、随配附件和工具以及清单一并附于货物内。</w:t>
      </w:r>
    </w:p>
    <w:p w14:paraId="06C78582">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11.4 乙方在货物发运手续办理完毕后 24 小时内或货到甲方 48 小时前通知甲方，以准备接货。</w:t>
      </w:r>
    </w:p>
    <w:p w14:paraId="114578B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11.5 货物在交付甲方前发生的风险均由乙方负责。</w:t>
      </w:r>
    </w:p>
    <w:p w14:paraId="71F9AAFA">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11.6 货物在规定的交付期限内由乙方送达甲方指定的地点视为交付，乙方同时需通知甲方货物已送达。</w:t>
      </w:r>
    </w:p>
    <w:p w14:paraId="5A62DD45">
      <w:pPr>
        <w:spacing w:before="212" w:line="360" w:lineRule="auto"/>
        <w:ind w:left="490"/>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12.质量保证及售后服务</w:t>
      </w:r>
    </w:p>
    <w:p w14:paraId="5882F8C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12.1 乙方提供的货物是全新、未使用过的、完整的、安全可靠的产品。严禁提供旧货翻新或假冒伪劣产品或次品、残品，并完全符合强制性的国家技术质量规范和招标文件规定的质量、规格、性能和技术规范等的要求。</w:t>
      </w:r>
    </w:p>
    <w:p w14:paraId="3E6D95EB">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12.2 乙方提供的货物经正确安装、正常运转和保养，在其使用寿命期内须具有符 合质量要求和产品说明书的性能。在货物免费质保期之内，乙方须对由于设计、工艺或材料的缺陷而发生的任何不足或故障负责。</w:t>
      </w:r>
    </w:p>
    <w:p w14:paraId="11B93CD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12.3 根据甲方按检验标准自己检验结果或委托有资质的相关质检机构的检验结果，发现货物的数量、质量、规格与合同不符；或者在质量保证期内，证实货物存在 缺陷，包括潜在的缺陷或使用不符合要求的材料等，甲方应尽快以书面形式通知乙方。 乙方在收到通知后</w:t>
      </w:r>
      <w:r>
        <w:rPr>
          <w:rFonts w:hint="eastAsia" w:ascii="仿宋" w:hAnsi="仿宋" w:eastAsia="仿宋" w:cs="仿宋"/>
          <w:spacing w:val="-1"/>
          <w:sz w:val="24"/>
          <w:szCs w:val="24"/>
          <w:highlight w:val="none"/>
          <w:u w:val="single"/>
        </w:rPr>
        <w:t xml:space="preserve">  2   </w:t>
      </w:r>
      <w:r>
        <w:rPr>
          <w:rFonts w:hint="eastAsia" w:ascii="仿宋" w:hAnsi="仿宋" w:eastAsia="仿宋" w:cs="仿宋"/>
          <w:spacing w:val="-1"/>
          <w:sz w:val="24"/>
          <w:szCs w:val="24"/>
          <w:highlight w:val="none"/>
        </w:rPr>
        <w:t>日内应免费维修或更换有缺陷的货物或部件。如果乙方在收到通知后</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日内没有弥补缺陷，甲方可采取必要的补救措施，但由此引发的风险和费用将由乙方承担。</w:t>
      </w:r>
    </w:p>
    <w:p w14:paraId="210BEF22">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12.4 质保期</w:t>
      </w:r>
      <w:r>
        <w:rPr>
          <w:rFonts w:hint="eastAsia" w:ascii="仿宋" w:hAnsi="仿宋" w:eastAsia="仿宋" w:cs="仿宋"/>
          <w:spacing w:val="-1"/>
          <w:sz w:val="24"/>
          <w:szCs w:val="24"/>
          <w:highlight w:val="none"/>
          <w:u w:val="none"/>
        </w:rPr>
        <w:t>：</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，因人为因素出现的故障不在免费质保范围内。</w:t>
      </w:r>
    </w:p>
    <w:p w14:paraId="4F65ED7B">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12.4.1 车辆售后服务必须有保障，在规定或承诺时间范围内排除故障并解决问题， 在节假日期间、售后放假休息时间、工休等期间需提前告知甲方或制定应急预案，但无论何种因素，乙方均必须保证售后服务及时，确保货物在免费质保期内正常使用。</w:t>
      </w:r>
    </w:p>
    <w:p w14:paraId="78D622B3">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"12.4.1.1"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12.4.1.1</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在免费质保期内，其维护、维修服务不收取任何额外费用。</w:t>
      </w:r>
    </w:p>
    <w:p w14:paraId="7970FC8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"12.4.1.2"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12.4.1.2</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在免费质保期内，乙方为甲方提供免费保养、检查、清洗、修理、更换等服务。</w:t>
      </w:r>
    </w:p>
    <w:p w14:paraId="47B5110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"12.4.1.3"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12.4.1.3</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在免费质保期内，乙方提供设备免费维修服务、7×24 小时电话支持， 在接到故障报告 4 小时内响应，12 小时内到现场，24 小时内排除故障，但最长不得超 过 48 小时。若不能按期排除故障，乙方应能够提供同款车型免费代用，不得因此影响 甲方正常工作，否则甲方有权指定第三方维修，维修费用由乙方承担。若需送回生产厂，乙方承担往返费用。</w:t>
      </w:r>
    </w:p>
    <w:p w14:paraId="517B0ECF">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"12.4.1.4"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12.4.1.4</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合同款项结清前，对所供货物进行系统检测，全面保养维护。</w:t>
      </w:r>
    </w:p>
    <w:p w14:paraId="248C61EC">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"12.4.1.5"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12.4.1.5</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对超过免费质保期的货物终身维修，维修时只收取部件成本费（免工时费）。</w:t>
      </w:r>
    </w:p>
    <w:p w14:paraId="4A9B668F">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 服务要求</w:t>
      </w:r>
    </w:p>
    <w:p w14:paraId="7CF57BE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12.5.1 所有设备均由乙方免费送货至甲方指定的交货地点并安装调试好，安装调试应以本需求书要求的技术参数指标为标准。</w:t>
      </w:r>
    </w:p>
    <w:p w14:paraId="2FC3078C">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12.5.2 所有货物交货后的拆箱、安装、调试等项工作(包括其费用)由乙方负责，但必须在用户指定人员的参与下进行。调试的原始记录需经各方签字后作为验收的文件之一。</w:t>
      </w:r>
    </w:p>
    <w:p w14:paraId="5DBC2F5F">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12.5.3 乙方应提供包括但不限于满足设备安装、使用和维护的技术文件，如设备和附件装箱清单、设备质量合格检定证明文件（包括合格证书和质检报告）、设备保修服务卡、设备中英文使用说明及有关图纸和维护手册等。</w:t>
      </w:r>
    </w:p>
    <w:p w14:paraId="0CF76754">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12.5.4 应按出厂标准及国家有关要求进行包装及运输。</w:t>
      </w:r>
    </w:p>
    <w:p w14:paraId="3D335B8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12.5.5 乙方须负责对用户方的技术人员免费进行安装、操作、维护维修等方面的培训，学会为止。</w:t>
      </w:r>
    </w:p>
    <w:p w14:paraId="70DF3124">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"12.5.5.1"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12.5.5.1</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培训内容包含但不限于：工作原理、车辆正确操作方法、专用设备的正确操作方法、日常管理维护保养知识、安全交底、操作规程、使用注意事项等。</w:t>
      </w:r>
    </w:p>
    <w:p w14:paraId="067AF03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"12.5.5.2"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12.5.5.2</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培训方式：上门培训。</w:t>
      </w:r>
    </w:p>
    <w:p w14:paraId="1E9F2F56">
      <w:pPr>
        <w:spacing w:before="211" w:line="360" w:lineRule="auto"/>
        <w:ind w:left="492"/>
        <w:outlineLvl w:val="1"/>
        <w:rPr>
          <w:rFonts w:hint="eastAsia" w:ascii="仿宋" w:hAnsi="仿宋" w:eastAsia="仿宋" w:cs="仿宋"/>
          <w:sz w:val="24"/>
          <w:szCs w:val="24"/>
          <w:highlight w:val="none"/>
        </w:rPr>
      </w:pP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13.调试和验收</w:t>
      </w:r>
    </w:p>
    <w:p w14:paraId="0EC89FC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13.1 乙方交货前对货物作出全面检查和对验收文件进行整理，并列出交货清单，作为甲方收货验收和使用的技术条件依据，检验的结果应随货物交甲方。</w:t>
      </w:r>
    </w:p>
    <w:p w14:paraId="3EA90929">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13.2 货物运抵现场后，甲方依据招标文件上的技术规格要求和国家有关质量标准在 3 个工作日内组织初步验收，并制作验收备忘录，签署验收意见。初步验收不合格的不予签收。</w:t>
      </w:r>
    </w:p>
    <w:p w14:paraId="63F4D08F">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13.3 乙方负责安装并培训甲方的使用操作人员，并协助甲方一起调试，直到符合技术要求，甲方才做最终验收并签署验收意见。</w:t>
      </w:r>
    </w:p>
    <w:p w14:paraId="17C2BD93">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13.4 对大型或技术复杂的货物，甲方应邀请国家认可的专业检测机构、相关方面专家参与初步验收及最终验收，并由其出具质量检验报告。</w:t>
      </w:r>
    </w:p>
    <w:p w14:paraId="2D00CD2C">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13.5 验收时乙方必须在现场，验收完毕后作出验收结果报告。验收费用由乙方负责。</w:t>
      </w:r>
    </w:p>
    <w:p w14:paraId="1FB7D21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13.6 必须符合招标文件、采购合同以及国家规定的质量标准。</w:t>
      </w:r>
    </w:p>
    <w:p w14:paraId="2D5ACD16">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13.6.1 基本要求</w:t>
      </w:r>
    </w:p>
    <w:p w14:paraId="09745221">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"13.6.1.1"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13.6.1.1</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货物为全新产品，无污染，无侵权行为、表面无划损、无任何缺陷隐患，在中国境内可依规安全合法使用。</w:t>
      </w:r>
    </w:p>
    <w:p w14:paraId="7797A43D">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"13.6.1.2"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13.6.1.2</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交付验收基本标准</w:t>
      </w:r>
    </w:p>
    <w:p w14:paraId="2C3D4EAA">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依次序对照适用标准为：①符合中华人民共和国国家安全质量标准、环保标准或 行业标准；②符合采购文件和响应承诺中甲方认可的合理最佳配置、参数及各项要求；</w:t>
      </w:r>
    </w:p>
    <w:p w14:paraId="0E3A36C1">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上述标准必须是有关官方机构发布的最新版本的标准。</w:t>
      </w:r>
    </w:p>
    <w:p w14:paraId="515D0B2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"13.6.1.3"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13.6.1.3</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验收由甲乙双方及相关人员依国家有关标准、合同及有关附件要求进行。乙方须为验收提供必需的相关条件及一切费用。</w:t>
      </w:r>
    </w:p>
    <w:p w14:paraId="2660B14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fldChar w:fldCharType="begin"/>
      </w:r>
      <w:r>
        <w:rPr>
          <w:rFonts w:hint="eastAsia" w:ascii="仿宋" w:hAnsi="仿宋" w:eastAsia="仿宋" w:cs="仿宋"/>
          <w:spacing w:val="-1"/>
          <w:sz w:val="24"/>
          <w:szCs w:val="24"/>
          <w:highlight w:val="none"/>
        </w:rPr>
        <w:instrText xml:space="preserve"> HYPERLINK "13.6.1.4" </w:instrText>
      </w:r>
      <w:r>
        <w:rPr>
          <w:rFonts w:hint="eastAsia" w:ascii="仿宋" w:hAnsi="仿宋" w:eastAsia="仿宋" w:cs="仿宋"/>
          <w:spacing w:val="-1"/>
          <w:sz w:val="24"/>
          <w:szCs w:val="24"/>
          <w:highlight w:val="none"/>
        </w:rPr>
        <w:fldChar w:fldCharType="separate"/>
      </w:r>
      <w:r>
        <w:rPr>
          <w:rFonts w:hint="eastAsia" w:ascii="仿宋" w:hAnsi="仿宋" w:eastAsia="仿宋" w:cs="仿宋"/>
          <w:spacing w:val="-1"/>
          <w:sz w:val="24"/>
          <w:szCs w:val="24"/>
          <w:highlight w:val="none"/>
        </w:rPr>
        <w:t>13.6.1.4</w:t>
      </w:r>
      <w:r>
        <w:rPr>
          <w:rFonts w:hint="eastAsia" w:ascii="仿宋" w:hAnsi="仿宋" w:eastAsia="仿宋" w:cs="仿宋"/>
          <w:spacing w:val="-1"/>
          <w:sz w:val="24"/>
          <w:szCs w:val="24"/>
          <w:highlight w:val="none"/>
        </w:rPr>
        <w:fldChar w:fldCharType="end"/>
      </w:r>
      <w:r>
        <w:rPr>
          <w:rFonts w:hint="eastAsia" w:ascii="仿宋" w:hAnsi="仿宋" w:eastAsia="仿宋" w:cs="仿宋"/>
          <w:spacing w:val="-1"/>
          <w:sz w:val="24"/>
          <w:szCs w:val="24"/>
          <w:highlight w:val="none"/>
        </w:rPr>
        <w:t xml:space="preserve"> 技术资料</w:t>
      </w:r>
    </w:p>
    <w:p w14:paraId="4B0F281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①交货时，乙方应同时交付产品使用手册、质量检验证书（合格证）等相关资料。</w:t>
      </w:r>
    </w:p>
    <w:p w14:paraId="0D4312F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②验收后，乙方应向甲方提供验收报告。</w:t>
      </w:r>
    </w:p>
    <w:p w14:paraId="3635106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13.6.2 乙方必须保证提供全新的、完整的、安全可靠的产品。严禁提供旧货翻新 或假冒伪劣产品或次品、残品。并且全部货物没有设计、材料或工艺上的缺陷。须提 供厂家出具的合格证书、国家实行生产许可的应提交生产许可证，国家实行强制认证 的应提交强制认证证书，国家实行计量检测认证的应提交计量检测体系合格证书。货 物的技术参数及配置情况必须由乙方提供国家相关检测机构出具的检验报告、生产厂家公开发布的印刷资料等技术资料予以支持。</w:t>
      </w:r>
    </w:p>
    <w:p w14:paraId="0040CACC">
      <w:pPr>
        <w:spacing w:before="213" w:line="360" w:lineRule="auto"/>
        <w:ind w:left="491"/>
        <w:outlineLvl w:val="1"/>
        <w:rPr>
          <w:rFonts w:hint="eastAsia" w:ascii="仿宋" w:hAnsi="仿宋" w:eastAsia="仿宋" w:cs="仿宋"/>
          <w:sz w:val="24"/>
          <w:szCs w:val="24"/>
          <w:highlight w:val="none"/>
        </w:rPr>
      </w:pPr>
      <w:r>
        <w:rPr>
          <w:rFonts w:hint="eastAsia" w:ascii="仿宋" w:hAnsi="仿宋" w:eastAsia="仿宋" w:cs="仿宋"/>
          <w:spacing w:val="-6"/>
          <w:sz w:val="24"/>
          <w:szCs w:val="24"/>
          <w:highlight w:val="none"/>
          <w14:textOutline w14:w="4358" w14:cap="sq" w14:cmpd="sng">
            <w14:solidFill>
              <w14:srgbClr w14:val="000000"/>
            </w14:solidFill>
            <w14:prstDash w14:val="solid"/>
            <w14:bevel/>
          </w14:textOutline>
        </w:rPr>
        <w:t>14.索赔</w:t>
      </w:r>
    </w:p>
    <w:p w14:paraId="16CB8A9C">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14.1 如果货物的质量、规格、数量、重量等与合同不符，或在免费质保期内证实 货物存有缺陷，包括潜在的缺陷或使用不符合要求的材料等，甲方有权根据有资质的 权威质检机构的检验结果向乙方提出索赔(但责任应由保险公司或运输部门承担的除外)。</w:t>
      </w:r>
    </w:p>
    <w:p w14:paraId="0EA2BF7B">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14.2 在根据合同规定的检验期和免费质保期内，如果乙方对甲方提出的索赔负有责任，乙方应按照甲方同意的下列一种或多种方式解决索赔事宜：</w:t>
      </w:r>
    </w:p>
    <w:p w14:paraId="4A7374FA">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14.2.1 甲方将货物款退还给乙方，乙方按合同规定将货款退还给甲方，并承担 由此发生的一切损失和费用，包括利息、银行手续费、运费、保险费、检验费、仓储费、装卸费以及为保护退回货物所需的其它必要费用。如已超过退货期，但乙方同意退货，可比照上述办法办理，或由双方协商处理。</w:t>
      </w:r>
    </w:p>
    <w:p w14:paraId="245EF545">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14.2.2 根据货物低劣程度、损坏程度以及甲方所遭受损失的数额，经双方商定降低货物的价格，或由有权的部门评估，以降低后的价格或评估价格为准。</w:t>
      </w:r>
    </w:p>
    <w:p w14:paraId="5A425B51">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14.2.3 用符合规格、质量和性能要求的新零件、部件或货物来更换有缺陷的部分或修补缺陷部分，乙方承担一切费用和风险并负担甲方所发生的一切直接费用。同时，乙方方应按合同第 12 条规定，相应延长修补或更换件的免费质保期。</w:t>
      </w:r>
    </w:p>
    <w:p w14:paraId="4E5CB6A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14.2.4 如果在甲方发出索赔通知后</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日内，乙方未作答复，上述索赔应视为已 被乙方接受。如乙方未能在甲方提出索赔通知后</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日内或买方同意的更长时间内，按照本合同第 14.2 条规定的任何一种方法解决索赔事宜，甲方将从合同款中扣回索赔金额。如果这些金额不足以补偿索赔金额，甲方有权向乙方提出不足部分的补偿。</w:t>
      </w:r>
    </w:p>
    <w:p w14:paraId="05750738">
      <w:pPr>
        <w:spacing w:before="214" w:line="360" w:lineRule="auto"/>
        <w:ind w:left="491"/>
        <w:outlineLvl w:val="1"/>
        <w:rPr>
          <w:rFonts w:hint="eastAsia" w:ascii="仿宋" w:hAnsi="仿宋" w:eastAsia="仿宋" w:cs="仿宋"/>
          <w:sz w:val="24"/>
          <w:szCs w:val="24"/>
          <w:highlight w:val="none"/>
        </w:rPr>
      </w:pPr>
      <w:r>
        <w:rPr>
          <w:rFonts w:hint="eastAsia" w:ascii="仿宋" w:hAnsi="仿宋" w:eastAsia="仿宋" w:cs="仿宋"/>
          <w:spacing w:val="-4"/>
          <w:sz w:val="24"/>
          <w:szCs w:val="24"/>
          <w:highlight w:val="none"/>
          <w14:textOutline w14:w="4358" w14:cap="sq" w14:cmpd="sng">
            <w14:solidFill>
              <w14:srgbClr w14:val="000000"/>
            </w14:solidFill>
            <w14:prstDash w14:val="solid"/>
            <w14:bevel/>
          </w14:textOutline>
        </w:rPr>
        <w:t>15.违约责任</w:t>
      </w:r>
    </w:p>
    <w:p w14:paraId="22BA7406">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15.1 甲方无正当理由拒收货物的，甲方向乙方偿付拒收货款总值的百分之五违约金。</w:t>
      </w:r>
    </w:p>
    <w:p w14:paraId="08CD7C79">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15.2 乙方逾期交付货物的，乙方按逾期交货总额每日万分之五向甲方支付违约金。逾期超过约定日期 10 个工作日不能交货的，甲方有权选择同意延长交货期或解除本合同。甲方同意延长交货期的，延期交货的时间由双另行确定。乙方仍按上述规定向甲方支付延期交货违约金。违约金由甲方从待付货款中扣除。乙方因逾期交货或因其他违约行为导致甲方解除合同的，乙方向甲方支付合同总值 5%的违约金，如造成甲方损失超过违约金的，超出部分由乙方继续承担赔偿责任。</w:t>
      </w:r>
    </w:p>
    <w:p w14:paraId="4AA1E7D7">
      <w:pPr>
        <w:spacing w:before="47" w:line="360" w:lineRule="auto"/>
        <w:ind w:left="2" w:right="93" w:firstLine="478" w:firstLineChars="201"/>
        <w:rPr>
          <w:rFonts w:hint="eastAsia" w:ascii="仿宋" w:hAnsi="仿宋" w:eastAsia="仿宋" w:cs="仿宋"/>
          <w:highlight w:val="none"/>
          <w:lang w:val="en-US" w:eastAsia="zh-CN"/>
        </w:rPr>
      </w:pPr>
      <w:r>
        <w:rPr>
          <w:rFonts w:hint="eastAsia" w:ascii="仿宋" w:hAnsi="仿宋" w:eastAsia="仿宋" w:cs="仿宋"/>
          <w:spacing w:val="-1"/>
          <w:sz w:val="24"/>
          <w:szCs w:val="24"/>
          <w:highlight w:val="none"/>
          <w:lang w:val="en-US" w:eastAsia="zh-CN"/>
        </w:rPr>
        <w:t>15.3采购人及时办理财政支付申请，若财政支付周期过长，不属于违约情形。</w:t>
      </w:r>
    </w:p>
    <w:p w14:paraId="7F45811D">
      <w:pPr>
        <w:spacing w:before="213" w:line="360" w:lineRule="auto"/>
        <w:ind w:left="491"/>
        <w:outlineLvl w:val="1"/>
        <w:rPr>
          <w:rFonts w:hint="eastAsia" w:ascii="仿宋" w:hAnsi="仿宋" w:eastAsia="仿宋" w:cs="仿宋"/>
          <w:sz w:val="24"/>
          <w:szCs w:val="24"/>
          <w:highlight w:val="none"/>
        </w:rPr>
      </w:pPr>
      <w:r>
        <w:rPr>
          <w:rFonts w:hint="eastAsia" w:ascii="仿宋" w:hAnsi="仿宋" w:eastAsia="仿宋" w:cs="仿宋"/>
          <w:spacing w:val="-2"/>
          <w:sz w:val="24"/>
          <w:szCs w:val="24"/>
          <w:highlight w:val="none"/>
          <w14:textOutline w14:w="4358" w14:cap="sq" w14:cmpd="sng">
            <w14:solidFill>
              <w14:srgbClr w14:val="000000"/>
            </w14:solidFill>
            <w14:prstDash w14:val="solid"/>
            <w14:bevel/>
          </w14:textOutline>
        </w:rPr>
        <w:t>16.不可抗力事件处理</w:t>
      </w:r>
    </w:p>
    <w:p w14:paraId="479B4310">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16.1 因不可抗力造成违约的，遭受不可抗力一方应及时向对方通报不能履行或不 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w:t>
      </w:r>
    </w:p>
    <w:p w14:paraId="2A850BFA">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16.2 本合同中的不可抗力指不能预见、不能避免并不能克服的客观情况。包括但不限于：自然灾害如地震、台风、洪水、火灾；政府行为、法律规定或其适用的变化或者其他任何无法预见、避免或者控制的事件。</w:t>
      </w:r>
    </w:p>
    <w:p w14:paraId="1AAC12D5">
      <w:pPr>
        <w:spacing w:before="210" w:line="360" w:lineRule="auto"/>
        <w:ind w:left="491"/>
        <w:outlineLvl w:val="1"/>
        <w:rPr>
          <w:rFonts w:hint="eastAsia" w:ascii="仿宋" w:hAnsi="仿宋" w:eastAsia="仿宋" w:cs="仿宋"/>
          <w:sz w:val="24"/>
          <w:szCs w:val="24"/>
          <w:highlight w:val="none"/>
        </w:rPr>
      </w:pP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17.合同纠纷处理</w:t>
      </w:r>
    </w:p>
    <w:p w14:paraId="7EC21472">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因本合同或与本合同有关的一切事项发生争议，由双方友好协商解决。协商不成的，向合同签订地人民法院提起诉讼。</w:t>
      </w:r>
    </w:p>
    <w:p w14:paraId="35308EA2">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因一方违约致使本合同的履行产生争议，守约方为解决争议所产生的公证费、律 师费、保险公司出具保全费用、翻译费、通讯费、差旅费、文印费等合理费用由违约 方负担。双方相互违约，有履约先后顺序的，负先履行义务一方负担所有争议解决费用；无履约先后顺序的，争议解决费用双方自行承担。</w:t>
      </w:r>
    </w:p>
    <w:p w14:paraId="11E8CCF2">
      <w:pPr>
        <w:spacing w:before="214" w:line="360" w:lineRule="auto"/>
        <w:ind w:left="490"/>
        <w:outlineLvl w:val="1"/>
        <w:rPr>
          <w:rFonts w:hint="eastAsia" w:ascii="仿宋" w:hAnsi="仿宋" w:eastAsia="仿宋" w:cs="仿宋"/>
          <w:sz w:val="24"/>
          <w:szCs w:val="24"/>
          <w:highlight w:val="none"/>
        </w:rPr>
      </w:pPr>
      <w:r>
        <w:rPr>
          <w:rFonts w:hint="eastAsia" w:ascii="仿宋" w:hAnsi="仿宋" w:eastAsia="仿宋" w:cs="仿宋"/>
          <w:spacing w:val="-3"/>
          <w:sz w:val="24"/>
          <w:szCs w:val="24"/>
          <w:highlight w:val="none"/>
          <w14:textOutline w14:w="4358" w14:cap="sq" w14:cmpd="sng">
            <w14:solidFill>
              <w14:srgbClr w14:val="000000"/>
            </w14:solidFill>
            <w14:prstDash w14:val="solid"/>
            <w14:bevel/>
          </w14:textOutline>
        </w:rPr>
        <w:t>18.违约解除合同</w:t>
      </w:r>
    </w:p>
    <w:p w14:paraId="39B0CBA8">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18.1 在乙方违约的情况下，甲方可向乙方发出书面通知，部分或全部终止合同，同时保留向对方追诉的权利。</w:t>
      </w:r>
    </w:p>
    <w:p w14:paraId="3A9077CF">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18.1.1 乙方未能在合同规定的限期或甲方同意延长的限期内提供全部或部分货物，按合同第 15.3 的规定可以解除合同的。</w:t>
      </w:r>
    </w:p>
    <w:p w14:paraId="59985B44">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val="en-US" w:eastAsia="zh-CN"/>
        </w:rPr>
        <w:t>18.1.2</w:t>
      </w:r>
      <w:r>
        <w:rPr>
          <w:rFonts w:hint="eastAsia" w:ascii="仿宋" w:hAnsi="仿宋" w:eastAsia="仿宋" w:cs="仿宋"/>
          <w:spacing w:val="-1"/>
          <w:sz w:val="24"/>
          <w:szCs w:val="24"/>
          <w:highlight w:val="none"/>
        </w:rPr>
        <w:t>乙方有转让和未经甲方同意的分包行为，按合同第 7.3 的规定可以解除合同的。</w:t>
      </w:r>
    </w:p>
    <w:p w14:paraId="5159A88A">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val="en-US" w:eastAsia="zh-CN"/>
        </w:rPr>
        <w:t>18.1.3</w:t>
      </w:r>
      <w:r>
        <w:rPr>
          <w:rFonts w:hint="eastAsia" w:ascii="仿宋" w:hAnsi="仿宋" w:eastAsia="仿宋" w:cs="仿宋"/>
          <w:spacing w:val="-1"/>
          <w:sz w:val="24"/>
          <w:szCs w:val="24"/>
          <w:highlight w:val="none"/>
        </w:rPr>
        <w:t>乙方未能履行合同规定的其它主要义务的。</w:t>
      </w:r>
    </w:p>
    <w:p w14:paraId="3AFEC933">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lang w:val="en-US" w:eastAsia="zh-CN"/>
        </w:rPr>
        <w:t>18.1.4</w:t>
      </w:r>
      <w:r>
        <w:rPr>
          <w:rFonts w:hint="eastAsia" w:ascii="仿宋" w:hAnsi="仿宋" w:eastAsia="仿宋" w:cs="仿宋"/>
          <w:spacing w:val="-1"/>
          <w:sz w:val="24"/>
          <w:szCs w:val="24"/>
          <w:highlight w:val="none"/>
        </w:rPr>
        <w:t>在本合同履行过程中有腐败和欺诈行为的。</w:t>
      </w:r>
    </w:p>
    <w:p w14:paraId="672444B2">
      <w:pPr>
        <w:spacing w:before="47" w:line="360" w:lineRule="auto"/>
        <w:ind w:left="2" w:right="93" w:firstLine="478" w:firstLineChars="201"/>
        <w:rPr>
          <w:rFonts w:hint="eastAsia" w:ascii="仿宋" w:hAnsi="仿宋" w:eastAsia="仿宋" w:cs="仿宋"/>
          <w:spacing w:val="-1"/>
          <w:sz w:val="24"/>
          <w:szCs w:val="24"/>
          <w:highlight w:val="none"/>
          <w:lang w:val="en-US" w:eastAsia="zh-CN"/>
        </w:rPr>
      </w:pPr>
      <w:r>
        <w:rPr>
          <w:rFonts w:hint="eastAsia" w:ascii="仿宋" w:hAnsi="仿宋" w:eastAsia="仿宋" w:cs="仿宋"/>
          <w:spacing w:val="-1"/>
          <w:sz w:val="24"/>
          <w:szCs w:val="24"/>
          <w:highlight w:val="none"/>
        </w:rPr>
        <w:t>18.2 在甲方根据上述笫 18.1 条规定，全部或部分解除合同之后，应当遵循诚实 信用原则，全部或部分购买与未交付的货物类似的货物或服务，乙方应承担甲方购买 类似货物或服务而产生的额外支出。部分解除合同的，乙方应继续履行合同中未解除的部分。</w:t>
      </w:r>
    </w:p>
    <w:p w14:paraId="76980783">
      <w:pPr>
        <w:spacing w:before="209" w:line="360" w:lineRule="auto"/>
        <w:ind w:left="490"/>
        <w:outlineLvl w:val="1"/>
        <w:rPr>
          <w:rFonts w:hint="eastAsia" w:ascii="仿宋" w:hAnsi="仿宋" w:eastAsia="仿宋" w:cs="仿宋"/>
          <w:sz w:val="24"/>
          <w:szCs w:val="24"/>
          <w:highlight w:val="none"/>
        </w:rPr>
      </w:pPr>
      <w:r>
        <w:rPr>
          <w:rFonts w:hint="eastAsia" w:ascii="仿宋" w:hAnsi="仿宋" w:eastAsia="仿宋" w:cs="仿宋"/>
          <w:spacing w:val="-4"/>
          <w:sz w:val="24"/>
          <w:szCs w:val="24"/>
          <w:highlight w:val="none"/>
          <w14:textOutline w14:w="4358" w14:cap="sq" w14:cmpd="sng">
            <w14:solidFill>
              <w14:srgbClr w14:val="000000"/>
            </w14:solidFill>
            <w14:prstDash w14:val="solid"/>
            <w14:bevel/>
          </w14:textOutline>
        </w:rPr>
        <w:t>19.其他约定</w:t>
      </w:r>
    </w:p>
    <w:p w14:paraId="76802558">
      <w:pPr>
        <w:spacing w:before="47" w:line="360" w:lineRule="auto"/>
        <w:ind w:left="2" w:right="93" w:firstLine="478" w:firstLineChars="201"/>
        <w:rPr>
          <w:rFonts w:hint="eastAsia" w:ascii="仿宋" w:hAnsi="仿宋" w:eastAsia="仿宋" w:cs="仿宋"/>
          <w:highlight w:val="none"/>
        </w:rPr>
      </w:pPr>
      <w:r>
        <w:rPr>
          <w:rFonts w:hint="eastAsia" w:ascii="仿宋" w:hAnsi="仿宋" w:eastAsia="仿宋" w:cs="仿宋"/>
          <w:spacing w:val="-1"/>
          <w:sz w:val="24"/>
          <w:szCs w:val="24"/>
          <w:highlight w:val="none"/>
        </w:rPr>
        <w:t>19.1 本采购项目的采购文件、乙方的响应文件以及相关的澄清、修改等（如果有 的话）均为本合同不可分割的一部分，与本合同具有同等法律效力，本合同未尽事宜详见采购文件，若采购文件也未涉及的，执行本合同 19.2 条约定。</w:t>
      </w:r>
    </w:p>
    <w:p w14:paraId="1D234637">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19.2 本合同未尽事宜，双方另行签订补充合同。</w:t>
      </w:r>
    </w:p>
    <w:p w14:paraId="6E2C81F8">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19.3 本合同一式</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份，具有同等法律效力，双方各执</w:t>
      </w:r>
      <w:r>
        <w:rPr>
          <w:rFonts w:hint="eastAsia" w:ascii="仿宋" w:hAnsi="仿宋" w:eastAsia="仿宋" w:cs="仿宋"/>
          <w:spacing w:val="-1"/>
          <w:sz w:val="24"/>
          <w:szCs w:val="24"/>
          <w:highlight w:val="none"/>
          <w:u w:val="single"/>
        </w:rPr>
        <w:t xml:space="preserve">    </w:t>
      </w:r>
      <w:r>
        <w:rPr>
          <w:rFonts w:hint="eastAsia" w:ascii="仿宋" w:hAnsi="仿宋" w:eastAsia="仿宋" w:cs="仿宋"/>
          <w:spacing w:val="-1"/>
          <w:sz w:val="24"/>
          <w:szCs w:val="24"/>
          <w:highlight w:val="none"/>
        </w:rPr>
        <w:t>份，采购代理机构存档</w:t>
      </w:r>
      <w:bookmarkStart w:id="0" w:name="_GoBack"/>
      <w:bookmarkEnd w:id="0"/>
    </w:p>
    <w:p w14:paraId="0D0FDBBB">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壹份。各方签字盖章后生效，合同执行完毕自动失效。（合同的服务承诺则长期有效）。</w:t>
      </w:r>
    </w:p>
    <w:p w14:paraId="20E29022">
      <w:pPr>
        <w:spacing w:before="47" w:line="360" w:lineRule="auto"/>
        <w:ind w:left="2" w:right="93" w:firstLine="478" w:firstLineChars="201"/>
        <w:rPr>
          <w:rFonts w:hint="eastAsia" w:ascii="仿宋" w:hAnsi="仿宋" w:eastAsia="仿宋" w:cs="仿宋"/>
          <w:spacing w:val="-1"/>
          <w:sz w:val="24"/>
          <w:szCs w:val="24"/>
          <w:highlight w:val="none"/>
          <w:u w:val="single"/>
          <w:lang w:val="en-US" w:eastAsia="zh-CN"/>
        </w:rPr>
      </w:pPr>
      <w:r>
        <w:rPr>
          <w:rFonts w:hint="eastAsia" w:ascii="仿宋" w:hAnsi="仿宋" w:eastAsia="仿宋" w:cs="仿宋"/>
          <w:spacing w:val="-1"/>
          <w:sz w:val="24"/>
          <w:szCs w:val="24"/>
          <w:highlight w:val="none"/>
        </w:rPr>
        <w:t>19.4 签定地点：</w:t>
      </w:r>
      <w:r>
        <w:rPr>
          <w:rFonts w:hint="eastAsia" w:ascii="仿宋" w:hAnsi="仿宋" w:eastAsia="仿宋" w:cs="仿宋"/>
          <w:spacing w:val="-1"/>
          <w:sz w:val="24"/>
          <w:szCs w:val="24"/>
          <w:highlight w:val="none"/>
          <w:u w:val="single"/>
          <w:lang w:val="en-US" w:eastAsia="zh-CN"/>
        </w:rPr>
        <w:t xml:space="preserve">          </w:t>
      </w:r>
    </w:p>
    <w:p w14:paraId="7FE3E4AE">
      <w:pPr>
        <w:spacing w:before="47" w:line="360" w:lineRule="auto"/>
        <w:ind w:left="2" w:right="93" w:firstLine="478" w:firstLineChars="201"/>
        <w:rPr>
          <w:rFonts w:hint="eastAsia" w:ascii="仿宋" w:hAnsi="仿宋" w:eastAsia="仿宋" w:cs="仿宋"/>
          <w:spacing w:val="-1"/>
          <w:sz w:val="24"/>
          <w:szCs w:val="24"/>
          <w:highlight w:val="none"/>
        </w:rPr>
      </w:pPr>
      <w:r>
        <w:rPr>
          <w:rFonts w:hint="eastAsia" w:ascii="仿宋" w:hAnsi="仿宋" w:eastAsia="仿宋" w:cs="仿宋"/>
          <w:spacing w:val="-1"/>
          <w:sz w:val="24"/>
          <w:szCs w:val="24"/>
          <w:highlight w:val="none"/>
        </w:rPr>
        <w:t>19.5 合同签订时间：202</w:t>
      </w:r>
      <w:r>
        <w:rPr>
          <w:rFonts w:hint="eastAsia" w:ascii="仿宋" w:hAnsi="仿宋" w:eastAsia="仿宋" w:cs="仿宋"/>
          <w:spacing w:val="-1"/>
          <w:sz w:val="24"/>
          <w:szCs w:val="24"/>
          <w:highlight w:val="none"/>
          <w:lang w:val="en-US" w:eastAsia="zh-CN"/>
        </w:rPr>
        <w:t>6</w:t>
      </w:r>
      <w:r>
        <w:rPr>
          <w:rFonts w:hint="eastAsia" w:ascii="仿宋" w:hAnsi="仿宋" w:eastAsia="仿宋" w:cs="仿宋"/>
          <w:spacing w:val="-1"/>
          <w:sz w:val="24"/>
          <w:szCs w:val="24"/>
          <w:highlight w:val="none"/>
        </w:rPr>
        <w:t xml:space="preserve"> 年</w:t>
      </w:r>
      <w:r>
        <w:rPr>
          <w:rFonts w:hint="eastAsia" w:ascii="仿宋" w:hAnsi="仿宋" w:eastAsia="仿宋" w:cs="仿宋"/>
          <w:spacing w:val="-1"/>
          <w:sz w:val="24"/>
          <w:szCs w:val="24"/>
          <w:highlight w:val="none"/>
          <w:u w:val="single"/>
          <w:lang w:val="en-US" w:eastAsia="zh-CN"/>
        </w:rPr>
        <w:t xml:space="preserve">    </w:t>
      </w:r>
      <w:r>
        <w:rPr>
          <w:rFonts w:hint="eastAsia" w:ascii="仿宋" w:hAnsi="仿宋" w:eastAsia="仿宋" w:cs="仿宋"/>
          <w:spacing w:val="-1"/>
          <w:sz w:val="24"/>
          <w:szCs w:val="24"/>
          <w:highlight w:val="none"/>
        </w:rPr>
        <w:t>月</w:t>
      </w:r>
      <w:r>
        <w:rPr>
          <w:rFonts w:hint="eastAsia" w:ascii="仿宋" w:hAnsi="仿宋" w:eastAsia="仿宋" w:cs="仿宋"/>
          <w:spacing w:val="-1"/>
          <w:sz w:val="24"/>
          <w:szCs w:val="24"/>
          <w:highlight w:val="none"/>
          <w:u w:val="single"/>
          <w:lang w:val="en-US" w:eastAsia="zh-CN"/>
        </w:rPr>
        <w:t xml:space="preserve">    </w:t>
      </w:r>
      <w:r>
        <w:rPr>
          <w:rFonts w:hint="eastAsia" w:ascii="仿宋" w:hAnsi="仿宋" w:eastAsia="仿宋" w:cs="仿宋"/>
          <w:spacing w:val="-1"/>
          <w:sz w:val="24"/>
          <w:szCs w:val="24"/>
          <w:highlight w:val="none"/>
        </w:rPr>
        <w:t>日</w:t>
      </w:r>
    </w:p>
    <w:p w14:paraId="720B0016">
      <w:pPr>
        <w:spacing w:before="47" w:line="360" w:lineRule="auto"/>
        <w:ind w:left="2" w:right="93" w:firstLine="478" w:firstLineChars="201"/>
        <w:rPr>
          <w:rFonts w:hint="eastAsia" w:ascii="仿宋" w:hAnsi="仿宋" w:eastAsia="仿宋" w:cs="仿宋"/>
          <w:spacing w:val="-1"/>
          <w:sz w:val="24"/>
          <w:szCs w:val="24"/>
          <w:highlight w:val="none"/>
        </w:rPr>
        <w:sectPr>
          <w:headerReference r:id="rId3" w:type="default"/>
          <w:footerReference r:id="rId4" w:type="default"/>
          <w:pgSz w:w="11907" w:h="16840"/>
          <w:pgMar w:top="1440" w:right="1800" w:bottom="1440" w:left="1800" w:header="850" w:footer="992" w:gutter="0"/>
          <w:pgNumType w:fmt="decimal"/>
          <w:cols w:equalWidth="0" w:num="1">
            <w:col w:w="8965"/>
          </w:cols>
        </w:sectPr>
      </w:pPr>
    </w:p>
    <w:p w14:paraId="176C5DF5">
      <w:pPr>
        <w:spacing w:before="312" w:line="222" w:lineRule="auto"/>
        <w:ind w:left="227"/>
        <w:rPr>
          <w:rFonts w:hint="eastAsia" w:ascii="仿宋" w:hAnsi="仿宋" w:eastAsia="仿宋" w:cs="仿宋"/>
          <w:sz w:val="24"/>
          <w:szCs w:val="24"/>
          <w:highlight w:val="none"/>
        </w:rPr>
      </w:pPr>
      <w:r>
        <w:rPr>
          <w:rFonts w:hint="eastAsia" w:ascii="仿宋" w:hAnsi="仿宋" w:eastAsia="仿宋" w:cs="仿宋"/>
          <w:spacing w:val="-12"/>
          <w:sz w:val="24"/>
          <w:szCs w:val="24"/>
          <w:highlight w:val="none"/>
        </w:rPr>
        <w:t>以下无正文</w:t>
      </w:r>
    </w:p>
    <w:p w14:paraId="2726D351">
      <w:pPr>
        <w:spacing w:before="229"/>
        <w:rPr>
          <w:rFonts w:hint="eastAsia" w:ascii="仿宋" w:hAnsi="仿宋" w:eastAsia="仿宋" w:cs="仿宋"/>
          <w:highlight w:val="none"/>
        </w:rPr>
      </w:pPr>
    </w:p>
    <w:tbl>
      <w:tblPr>
        <w:tblStyle w:val="13"/>
        <w:tblW w:w="7983" w:type="dxa"/>
        <w:tblInd w:w="17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0"/>
        <w:gridCol w:w="3993"/>
      </w:tblGrid>
      <w:tr w14:paraId="6247D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3990" w:type="dxa"/>
            <w:vAlign w:val="top"/>
          </w:tcPr>
          <w:p w14:paraId="607FA1F9">
            <w:pPr>
              <w:pStyle w:val="12"/>
              <w:spacing w:before="168" w:line="222" w:lineRule="auto"/>
              <w:ind w:left="1682"/>
              <w:rPr>
                <w:rFonts w:hint="eastAsia" w:ascii="仿宋" w:hAnsi="仿宋" w:eastAsia="仿宋" w:cs="仿宋"/>
                <w:highlight w:val="none"/>
              </w:rPr>
            </w:pPr>
            <w:r>
              <w:rPr>
                <w:rFonts w:hint="eastAsia" w:ascii="仿宋" w:hAnsi="仿宋" w:eastAsia="仿宋" w:cs="仿宋"/>
                <w:spacing w:val="-24"/>
                <w:highlight w:val="none"/>
              </w:rPr>
              <w:t>甲</w:t>
            </w:r>
            <w:r>
              <w:rPr>
                <w:rFonts w:hint="eastAsia" w:ascii="仿宋" w:hAnsi="仿宋" w:eastAsia="仿宋" w:cs="仿宋"/>
                <w:spacing w:val="10"/>
                <w:highlight w:val="none"/>
              </w:rPr>
              <w:t xml:space="preserve">  </w:t>
            </w:r>
            <w:r>
              <w:rPr>
                <w:rFonts w:hint="eastAsia" w:ascii="仿宋" w:hAnsi="仿宋" w:eastAsia="仿宋" w:cs="仿宋"/>
                <w:spacing w:val="-24"/>
                <w:highlight w:val="none"/>
              </w:rPr>
              <w:t>方</w:t>
            </w:r>
          </w:p>
        </w:tc>
        <w:tc>
          <w:tcPr>
            <w:tcW w:w="3993" w:type="dxa"/>
            <w:vAlign w:val="top"/>
          </w:tcPr>
          <w:p w14:paraId="73DA0B36">
            <w:pPr>
              <w:pStyle w:val="12"/>
              <w:spacing w:before="168" w:line="224" w:lineRule="auto"/>
              <w:ind w:left="1666"/>
              <w:rPr>
                <w:rFonts w:hint="eastAsia" w:ascii="仿宋" w:hAnsi="仿宋" w:eastAsia="仿宋" w:cs="仿宋"/>
                <w:highlight w:val="none"/>
              </w:rPr>
            </w:pPr>
            <w:r>
              <w:rPr>
                <w:rFonts w:hint="eastAsia" w:ascii="仿宋" w:hAnsi="仿宋" w:eastAsia="仿宋" w:cs="仿宋"/>
                <w:spacing w:val="-17"/>
                <w:highlight w:val="none"/>
              </w:rPr>
              <w:t>乙</w:t>
            </w:r>
            <w:r>
              <w:rPr>
                <w:rFonts w:hint="eastAsia" w:ascii="仿宋" w:hAnsi="仿宋" w:eastAsia="仿宋" w:cs="仿宋"/>
                <w:spacing w:val="10"/>
                <w:highlight w:val="none"/>
              </w:rPr>
              <w:t xml:space="preserve">  </w:t>
            </w:r>
            <w:r>
              <w:rPr>
                <w:rFonts w:hint="eastAsia" w:ascii="仿宋" w:hAnsi="仿宋" w:eastAsia="仿宋" w:cs="仿宋"/>
                <w:spacing w:val="-17"/>
                <w:highlight w:val="none"/>
              </w:rPr>
              <w:t>方</w:t>
            </w:r>
          </w:p>
        </w:tc>
      </w:tr>
      <w:tr w14:paraId="6CFCA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3990" w:type="dxa"/>
            <w:vAlign w:val="top"/>
          </w:tcPr>
          <w:p w14:paraId="4763D78D">
            <w:pPr>
              <w:spacing w:line="339" w:lineRule="auto"/>
              <w:rPr>
                <w:rFonts w:hint="eastAsia" w:ascii="仿宋" w:hAnsi="仿宋" w:eastAsia="仿宋" w:cs="仿宋"/>
                <w:sz w:val="21"/>
                <w:highlight w:val="none"/>
              </w:rPr>
            </w:pPr>
          </w:p>
          <w:p w14:paraId="6FCA821E">
            <w:pPr>
              <w:pStyle w:val="12"/>
              <w:spacing w:before="78" w:line="221" w:lineRule="auto"/>
              <w:ind w:left="125"/>
              <w:rPr>
                <w:rFonts w:hint="eastAsia" w:ascii="仿宋" w:hAnsi="仿宋" w:eastAsia="仿宋" w:cs="仿宋"/>
                <w:highlight w:val="none"/>
              </w:rPr>
            </w:pPr>
            <w:r>
              <w:rPr>
                <w:rFonts w:hint="eastAsia" w:ascii="仿宋" w:hAnsi="仿宋" w:eastAsia="仿宋" w:cs="仿宋"/>
                <w:spacing w:val="-2"/>
                <w:highlight w:val="none"/>
              </w:rPr>
              <w:t>采购人全称（公章）</w:t>
            </w:r>
          </w:p>
        </w:tc>
        <w:tc>
          <w:tcPr>
            <w:tcW w:w="3993" w:type="dxa"/>
            <w:vAlign w:val="top"/>
          </w:tcPr>
          <w:p w14:paraId="68CA0486">
            <w:pPr>
              <w:spacing w:line="339" w:lineRule="auto"/>
              <w:rPr>
                <w:rFonts w:hint="eastAsia" w:ascii="仿宋" w:hAnsi="仿宋" w:eastAsia="仿宋" w:cs="仿宋"/>
                <w:sz w:val="21"/>
                <w:highlight w:val="none"/>
              </w:rPr>
            </w:pPr>
          </w:p>
          <w:p w14:paraId="39EE62C6">
            <w:pPr>
              <w:pStyle w:val="12"/>
              <w:spacing w:before="78" w:line="221" w:lineRule="auto"/>
              <w:ind w:left="153"/>
              <w:rPr>
                <w:rFonts w:hint="eastAsia" w:ascii="仿宋" w:hAnsi="仿宋" w:eastAsia="仿宋" w:cs="仿宋"/>
                <w:highlight w:val="none"/>
              </w:rPr>
            </w:pPr>
            <w:r>
              <w:rPr>
                <w:rFonts w:hint="eastAsia" w:ascii="仿宋" w:hAnsi="仿宋" w:eastAsia="仿宋" w:cs="仿宋"/>
                <w:spacing w:val="-5"/>
                <w:highlight w:val="none"/>
              </w:rPr>
              <w:t>中标供应商全称（公章）</w:t>
            </w:r>
          </w:p>
        </w:tc>
      </w:tr>
      <w:tr w14:paraId="2078E4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3990" w:type="dxa"/>
            <w:vAlign w:val="top"/>
          </w:tcPr>
          <w:p w14:paraId="6A772A7D">
            <w:pPr>
              <w:pStyle w:val="12"/>
              <w:spacing w:before="165" w:line="232" w:lineRule="auto"/>
              <w:ind w:left="124"/>
              <w:rPr>
                <w:rFonts w:hint="eastAsia" w:ascii="仿宋" w:hAnsi="仿宋" w:eastAsia="仿宋" w:cs="仿宋"/>
                <w:highlight w:val="none"/>
              </w:rPr>
            </w:pPr>
            <w:r>
              <w:rPr>
                <w:rFonts w:hint="eastAsia" w:ascii="仿宋" w:hAnsi="仿宋" w:eastAsia="仿宋" w:cs="仿宋"/>
                <w:spacing w:val="-6"/>
                <w:highlight w:val="none"/>
              </w:rPr>
              <w:t>地址：</w:t>
            </w:r>
          </w:p>
        </w:tc>
        <w:tc>
          <w:tcPr>
            <w:tcW w:w="3993" w:type="dxa"/>
            <w:vAlign w:val="top"/>
          </w:tcPr>
          <w:p w14:paraId="55C47119">
            <w:pPr>
              <w:pStyle w:val="12"/>
              <w:spacing w:before="165" w:line="232" w:lineRule="auto"/>
              <w:ind w:left="123"/>
              <w:rPr>
                <w:rFonts w:hint="eastAsia" w:ascii="仿宋" w:hAnsi="仿宋" w:eastAsia="仿宋" w:cs="仿宋"/>
                <w:highlight w:val="none"/>
              </w:rPr>
            </w:pPr>
            <w:r>
              <w:rPr>
                <w:rFonts w:hint="eastAsia" w:ascii="仿宋" w:hAnsi="仿宋" w:eastAsia="仿宋" w:cs="仿宋"/>
                <w:spacing w:val="-6"/>
                <w:highlight w:val="none"/>
              </w:rPr>
              <w:t>地址：</w:t>
            </w:r>
          </w:p>
        </w:tc>
      </w:tr>
      <w:tr w14:paraId="5466F9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2" w:hRule="atLeast"/>
        </w:trPr>
        <w:tc>
          <w:tcPr>
            <w:tcW w:w="3990" w:type="dxa"/>
            <w:vAlign w:val="top"/>
          </w:tcPr>
          <w:p w14:paraId="6B035F8E">
            <w:pPr>
              <w:pStyle w:val="12"/>
              <w:spacing w:before="164" w:line="222" w:lineRule="auto"/>
              <w:ind w:left="141"/>
              <w:rPr>
                <w:rFonts w:hint="eastAsia" w:ascii="仿宋" w:hAnsi="仿宋" w:eastAsia="仿宋" w:cs="仿宋"/>
                <w:highlight w:val="none"/>
              </w:rPr>
            </w:pPr>
            <w:r>
              <w:rPr>
                <w:rFonts w:hint="eastAsia" w:ascii="仿宋" w:hAnsi="仿宋" w:eastAsia="仿宋" w:cs="仿宋"/>
                <w:spacing w:val="-12"/>
                <w:highlight w:val="none"/>
              </w:rPr>
              <w:t>邮编：</w:t>
            </w:r>
          </w:p>
        </w:tc>
        <w:tc>
          <w:tcPr>
            <w:tcW w:w="3993" w:type="dxa"/>
            <w:vAlign w:val="top"/>
          </w:tcPr>
          <w:p w14:paraId="0B70FF3B">
            <w:pPr>
              <w:pStyle w:val="12"/>
              <w:spacing w:before="164" w:line="222" w:lineRule="auto"/>
              <w:ind w:left="140"/>
              <w:rPr>
                <w:rFonts w:hint="eastAsia" w:ascii="仿宋" w:hAnsi="仿宋" w:eastAsia="仿宋" w:cs="仿宋"/>
                <w:highlight w:val="none"/>
              </w:rPr>
            </w:pPr>
            <w:r>
              <w:rPr>
                <w:rFonts w:hint="eastAsia" w:ascii="仿宋" w:hAnsi="仿宋" w:eastAsia="仿宋" w:cs="仿宋"/>
                <w:spacing w:val="-12"/>
                <w:highlight w:val="none"/>
              </w:rPr>
              <w:t>邮编：</w:t>
            </w:r>
          </w:p>
        </w:tc>
      </w:tr>
      <w:tr w14:paraId="41BE1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1" w:hRule="atLeast"/>
        </w:trPr>
        <w:tc>
          <w:tcPr>
            <w:tcW w:w="3990" w:type="dxa"/>
            <w:vAlign w:val="top"/>
          </w:tcPr>
          <w:p w14:paraId="3C6FED11">
            <w:pPr>
              <w:pStyle w:val="12"/>
              <w:spacing w:before="166" w:line="461" w:lineRule="exact"/>
              <w:ind w:left="131"/>
              <w:rPr>
                <w:rFonts w:hint="eastAsia" w:ascii="仿宋" w:hAnsi="仿宋" w:eastAsia="仿宋" w:cs="仿宋"/>
                <w:highlight w:val="none"/>
              </w:rPr>
            </w:pPr>
            <w:r>
              <w:rPr>
                <w:rFonts w:hint="eastAsia" w:ascii="仿宋" w:hAnsi="仿宋" w:eastAsia="仿宋" w:cs="仿宋"/>
                <w:spacing w:val="-6"/>
                <w:position w:val="16"/>
                <w:highlight w:val="none"/>
              </w:rPr>
              <w:t>法定代表人或负责人或被授权人（签</w:t>
            </w:r>
          </w:p>
          <w:p w14:paraId="14450D01">
            <w:pPr>
              <w:pStyle w:val="12"/>
              <w:spacing w:line="224" w:lineRule="auto"/>
              <w:ind w:left="133"/>
              <w:rPr>
                <w:rFonts w:hint="eastAsia" w:ascii="仿宋" w:hAnsi="仿宋" w:eastAsia="仿宋" w:cs="仿宋"/>
                <w:highlight w:val="none"/>
              </w:rPr>
            </w:pPr>
            <w:r>
              <w:rPr>
                <w:rFonts w:hint="eastAsia" w:ascii="仿宋" w:hAnsi="仿宋" w:eastAsia="仿宋" w:cs="仿宋"/>
                <w:spacing w:val="-26"/>
                <w:highlight w:val="none"/>
              </w:rPr>
              <w:t>字</w:t>
            </w:r>
            <w:r>
              <w:rPr>
                <w:rFonts w:hint="eastAsia" w:ascii="仿宋" w:hAnsi="仿宋" w:eastAsia="仿宋" w:cs="仿宋"/>
                <w:highlight w:val="none"/>
              </w:rPr>
              <w:t>）：</w:t>
            </w:r>
          </w:p>
        </w:tc>
        <w:tc>
          <w:tcPr>
            <w:tcW w:w="3993" w:type="dxa"/>
            <w:vAlign w:val="top"/>
          </w:tcPr>
          <w:p w14:paraId="01BB5958">
            <w:pPr>
              <w:pStyle w:val="12"/>
              <w:spacing w:before="166" w:line="222" w:lineRule="auto"/>
              <w:ind w:left="130"/>
              <w:rPr>
                <w:rFonts w:hint="eastAsia" w:ascii="仿宋" w:hAnsi="仿宋" w:eastAsia="仿宋" w:cs="仿宋"/>
                <w:highlight w:val="none"/>
              </w:rPr>
            </w:pPr>
            <w:r>
              <w:rPr>
                <w:rFonts w:hint="eastAsia" w:ascii="仿宋" w:hAnsi="仿宋" w:eastAsia="仿宋" w:cs="仿宋"/>
                <w:spacing w:val="-2"/>
                <w:highlight w:val="none"/>
              </w:rPr>
              <w:t>法定代表人或被授权人（签字</w:t>
            </w:r>
            <w:r>
              <w:rPr>
                <w:rFonts w:hint="eastAsia" w:ascii="仿宋" w:hAnsi="仿宋" w:eastAsia="仿宋" w:cs="仿宋"/>
                <w:highlight w:val="none"/>
              </w:rPr>
              <w:t>）：</w:t>
            </w:r>
          </w:p>
        </w:tc>
      </w:tr>
      <w:tr w14:paraId="08473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3990" w:type="dxa"/>
            <w:vAlign w:val="top"/>
          </w:tcPr>
          <w:p w14:paraId="529DB9A5">
            <w:pPr>
              <w:pStyle w:val="12"/>
              <w:spacing w:before="167" w:line="223" w:lineRule="auto"/>
              <w:ind w:left="150"/>
              <w:rPr>
                <w:rFonts w:hint="eastAsia" w:ascii="仿宋" w:hAnsi="仿宋" w:eastAsia="仿宋" w:cs="仿宋"/>
                <w:highlight w:val="none"/>
              </w:rPr>
            </w:pPr>
            <w:r>
              <w:rPr>
                <w:rFonts w:hint="eastAsia" w:ascii="仿宋" w:hAnsi="仿宋" w:eastAsia="仿宋" w:cs="仿宋"/>
                <w:spacing w:val="-15"/>
                <w:highlight w:val="none"/>
              </w:rPr>
              <w:t>电话：</w:t>
            </w:r>
          </w:p>
        </w:tc>
        <w:tc>
          <w:tcPr>
            <w:tcW w:w="3993" w:type="dxa"/>
            <w:vAlign w:val="top"/>
          </w:tcPr>
          <w:p w14:paraId="2380609E">
            <w:pPr>
              <w:pStyle w:val="12"/>
              <w:spacing w:before="167" w:line="223" w:lineRule="auto"/>
              <w:ind w:left="149"/>
              <w:rPr>
                <w:rFonts w:hint="eastAsia" w:ascii="仿宋" w:hAnsi="仿宋" w:eastAsia="仿宋" w:cs="仿宋"/>
                <w:highlight w:val="none"/>
              </w:rPr>
            </w:pPr>
            <w:r>
              <w:rPr>
                <w:rFonts w:hint="eastAsia" w:ascii="仿宋" w:hAnsi="仿宋" w:eastAsia="仿宋" w:cs="仿宋"/>
                <w:spacing w:val="-15"/>
                <w:highlight w:val="none"/>
              </w:rPr>
              <w:t>电话：</w:t>
            </w:r>
          </w:p>
        </w:tc>
      </w:tr>
      <w:tr w14:paraId="10B839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3990" w:type="dxa"/>
            <w:vAlign w:val="top"/>
          </w:tcPr>
          <w:p w14:paraId="114EB36C">
            <w:pPr>
              <w:pStyle w:val="12"/>
              <w:spacing w:before="167" w:line="223" w:lineRule="auto"/>
              <w:ind w:left="126"/>
              <w:rPr>
                <w:rFonts w:hint="eastAsia" w:ascii="仿宋" w:hAnsi="仿宋" w:eastAsia="仿宋" w:cs="仿宋"/>
                <w:highlight w:val="none"/>
              </w:rPr>
            </w:pPr>
            <w:r>
              <w:rPr>
                <w:rFonts w:hint="eastAsia" w:ascii="仿宋" w:hAnsi="仿宋" w:eastAsia="仿宋" w:cs="仿宋"/>
                <w:spacing w:val="-7"/>
                <w:highlight w:val="none"/>
              </w:rPr>
              <w:t>传真：</w:t>
            </w:r>
          </w:p>
        </w:tc>
        <w:tc>
          <w:tcPr>
            <w:tcW w:w="3993" w:type="dxa"/>
            <w:vAlign w:val="top"/>
          </w:tcPr>
          <w:p w14:paraId="40FBA80A">
            <w:pPr>
              <w:pStyle w:val="12"/>
              <w:spacing w:before="167" w:line="223" w:lineRule="auto"/>
              <w:ind w:left="125"/>
              <w:rPr>
                <w:rFonts w:hint="eastAsia" w:ascii="仿宋" w:hAnsi="仿宋" w:eastAsia="仿宋" w:cs="仿宋"/>
                <w:highlight w:val="none"/>
              </w:rPr>
            </w:pPr>
            <w:r>
              <w:rPr>
                <w:rFonts w:hint="eastAsia" w:ascii="仿宋" w:hAnsi="仿宋" w:eastAsia="仿宋" w:cs="仿宋"/>
                <w:spacing w:val="-7"/>
                <w:highlight w:val="none"/>
              </w:rPr>
              <w:t>传真：</w:t>
            </w:r>
          </w:p>
        </w:tc>
      </w:tr>
      <w:tr w14:paraId="66CF72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3990" w:type="dxa"/>
            <w:vAlign w:val="top"/>
          </w:tcPr>
          <w:p w14:paraId="1E7EA915">
            <w:pPr>
              <w:rPr>
                <w:rFonts w:hint="eastAsia" w:ascii="仿宋" w:hAnsi="仿宋" w:eastAsia="仿宋" w:cs="仿宋"/>
                <w:sz w:val="21"/>
                <w:highlight w:val="none"/>
              </w:rPr>
            </w:pPr>
          </w:p>
        </w:tc>
        <w:tc>
          <w:tcPr>
            <w:tcW w:w="3993" w:type="dxa"/>
            <w:vAlign w:val="top"/>
          </w:tcPr>
          <w:p w14:paraId="5D08646F">
            <w:pPr>
              <w:pStyle w:val="12"/>
              <w:spacing w:before="167" w:line="221" w:lineRule="auto"/>
              <w:ind w:left="122"/>
              <w:rPr>
                <w:rFonts w:hint="eastAsia" w:ascii="仿宋" w:hAnsi="仿宋" w:eastAsia="仿宋" w:cs="仿宋"/>
                <w:highlight w:val="none"/>
              </w:rPr>
            </w:pPr>
            <w:r>
              <w:rPr>
                <w:rFonts w:hint="eastAsia" w:ascii="仿宋" w:hAnsi="仿宋" w:eastAsia="仿宋" w:cs="仿宋"/>
                <w:spacing w:val="-4"/>
                <w:highlight w:val="none"/>
              </w:rPr>
              <w:t>开户银行：</w:t>
            </w:r>
          </w:p>
        </w:tc>
      </w:tr>
      <w:tr w14:paraId="5DA64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3990" w:type="dxa"/>
            <w:vAlign w:val="top"/>
          </w:tcPr>
          <w:p w14:paraId="4849BD52">
            <w:pPr>
              <w:rPr>
                <w:rFonts w:hint="eastAsia" w:ascii="仿宋" w:hAnsi="仿宋" w:eastAsia="仿宋" w:cs="仿宋"/>
                <w:sz w:val="21"/>
                <w:highlight w:val="none"/>
              </w:rPr>
            </w:pPr>
          </w:p>
        </w:tc>
        <w:tc>
          <w:tcPr>
            <w:tcW w:w="3993" w:type="dxa"/>
            <w:vAlign w:val="top"/>
          </w:tcPr>
          <w:p w14:paraId="05326A2A">
            <w:pPr>
              <w:pStyle w:val="12"/>
              <w:spacing w:before="167" w:line="224" w:lineRule="auto"/>
              <w:ind w:left="132"/>
              <w:rPr>
                <w:rFonts w:hint="eastAsia" w:ascii="仿宋" w:hAnsi="仿宋" w:eastAsia="仿宋" w:cs="仿宋"/>
                <w:highlight w:val="none"/>
              </w:rPr>
            </w:pPr>
            <w:r>
              <w:rPr>
                <w:rFonts w:hint="eastAsia" w:ascii="仿宋" w:hAnsi="仿宋" w:eastAsia="仿宋" w:cs="仿宋"/>
                <w:spacing w:val="-9"/>
                <w:highlight w:val="none"/>
              </w:rPr>
              <w:t>帐号：</w:t>
            </w:r>
          </w:p>
        </w:tc>
      </w:tr>
      <w:tr w14:paraId="6EF5F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7983" w:type="dxa"/>
            <w:gridSpan w:val="2"/>
            <w:vAlign w:val="top"/>
          </w:tcPr>
          <w:p w14:paraId="13AF80B6">
            <w:pPr>
              <w:pStyle w:val="12"/>
              <w:spacing w:before="167" w:line="222" w:lineRule="auto"/>
              <w:ind w:left="3409"/>
              <w:rPr>
                <w:rFonts w:hint="eastAsia" w:ascii="仿宋" w:hAnsi="仿宋" w:eastAsia="仿宋" w:cs="仿宋"/>
                <w:highlight w:val="none"/>
              </w:rPr>
            </w:pPr>
            <w:r>
              <w:rPr>
                <w:rFonts w:hint="eastAsia" w:ascii="仿宋" w:hAnsi="仿宋" w:eastAsia="仿宋" w:cs="仿宋"/>
                <w:spacing w:val="-16"/>
                <w:highlight w:val="none"/>
              </w:rPr>
              <w:t>年</w:t>
            </w:r>
            <w:r>
              <w:rPr>
                <w:rFonts w:hint="eastAsia" w:ascii="仿宋" w:hAnsi="仿宋" w:eastAsia="仿宋" w:cs="仿宋"/>
                <w:spacing w:val="13"/>
                <w:highlight w:val="none"/>
              </w:rPr>
              <w:t xml:space="preserve">  </w:t>
            </w:r>
            <w:r>
              <w:rPr>
                <w:rFonts w:hint="eastAsia" w:ascii="仿宋" w:hAnsi="仿宋" w:eastAsia="仿宋" w:cs="仿宋"/>
                <w:spacing w:val="-16"/>
                <w:highlight w:val="none"/>
              </w:rPr>
              <w:t>月</w:t>
            </w:r>
            <w:r>
              <w:rPr>
                <w:rFonts w:hint="eastAsia" w:ascii="仿宋" w:hAnsi="仿宋" w:eastAsia="仿宋" w:cs="仿宋"/>
                <w:spacing w:val="33"/>
                <w:highlight w:val="none"/>
              </w:rPr>
              <w:t xml:space="preserve">  </w:t>
            </w:r>
            <w:r>
              <w:rPr>
                <w:rFonts w:hint="eastAsia" w:ascii="仿宋" w:hAnsi="仿宋" w:eastAsia="仿宋" w:cs="仿宋"/>
                <w:spacing w:val="-16"/>
                <w:highlight w:val="none"/>
              </w:rPr>
              <w:t>日</w:t>
            </w:r>
          </w:p>
        </w:tc>
      </w:tr>
    </w:tbl>
    <w:p w14:paraId="2937FB87">
      <w:pPr>
        <w:pStyle w:val="3"/>
        <w:rPr>
          <w:rFonts w:hint="eastAsia" w:ascii="仿宋" w:hAnsi="仿宋" w:eastAsia="仿宋" w:cs="仿宋"/>
          <w:highlight w:val="none"/>
        </w:rPr>
      </w:pPr>
    </w:p>
    <w:p w14:paraId="5F73E53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86AB">
    <w:pPr>
      <w:pStyle w:val="5"/>
      <w:tabs>
        <w:tab w:val="center" w:pos="4153"/>
        <w:tab w:val="right" w:pos="8306"/>
        <w:tab w:val="clear" w:pos="4140"/>
        <w:tab w:val="clear" w:pos="8300"/>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AAAEFB">
                          <w:pPr>
                            <w:pStyle w:val="5"/>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AAAEFB">
                    <w:pPr>
                      <w:pStyle w:val="5"/>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4AACD">
    <w:pPr>
      <w:pStyle w:val="6"/>
      <w:pBdr>
        <w:bottom w:val="none" w:color="auto" w:sz="0" w:space="1"/>
      </w:pBdr>
      <w:tabs>
        <w:tab w:val="left" w:pos="2962"/>
      </w:tabs>
      <w:jc w:val="left"/>
      <w:rPr>
        <w:rFonts w:hint="eastAsia"/>
        <w:lang w:eastAsia="zh-CN"/>
      </w:rPr>
    </w:pPr>
    <w:r>
      <w:rPr>
        <w:rFonts w:hint="eastAsia"/>
        <w:lang w:eastAsia="zh-CN"/>
      </w:rPr>
      <w:tab/>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E42B80"/>
    <w:rsid w:val="0D7A4A46"/>
    <w:rsid w:val="17007510"/>
    <w:rsid w:val="1E4A4014"/>
    <w:rsid w:val="229E2900"/>
    <w:rsid w:val="22B10EF6"/>
    <w:rsid w:val="249173B9"/>
    <w:rsid w:val="26041FAB"/>
    <w:rsid w:val="2A7C59B7"/>
    <w:rsid w:val="2D9B6468"/>
    <w:rsid w:val="308C5352"/>
    <w:rsid w:val="31C04023"/>
    <w:rsid w:val="33613CE8"/>
    <w:rsid w:val="338D3667"/>
    <w:rsid w:val="354F3848"/>
    <w:rsid w:val="36124C6B"/>
    <w:rsid w:val="38E42B80"/>
    <w:rsid w:val="395F671A"/>
    <w:rsid w:val="3B631480"/>
    <w:rsid w:val="4B427ECE"/>
    <w:rsid w:val="4EBB028D"/>
    <w:rsid w:val="59CB23DB"/>
    <w:rsid w:val="67B235BF"/>
    <w:rsid w:val="6A0C16F7"/>
    <w:rsid w:val="6BE7174B"/>
    <w:rsid w:val="70E4255B"/>
    <w:rsid w:val="71641E18"/>
    <w:rsid w:val="7A6723E9"/>
    <w:rsid w:val="7A910112"/>
    <w:rsid w:val="7C3B1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rPr>
  </w:style>
  <w:style w:type="paragraph" w:styleId="4">
    <w:name w:val="Plain Text"/>
    <w:basedOn w:val="1"/>
    <w:qFormat/>
    <w:uiPriority w:val="99"/>
    <w:rPr>
      <w:rFonts w:ascii="宋体" w:hAnsi="Courier New"/>
      <w:kern w:val="0"/>
      <w:szCs w:val="20"/>
    </w:rPr>
  </w:style>
  <w:style w:type="paragraph" w:styleId="5">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customStyle="1" w:styleId="10">
    <w:name w:val="null3"/>
    <w:autoRedefine/>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autoRedefine/>
    <w:qFormat/>
    <w:uiPriority w:val="34"/>
    <w:pPr>
      <w:ind w:firstLine="420" w:firstLineChars="200"/>
    </w:pPr>
  </w:style>
  <w:style w:type="paragraph" w:customStyle="1" w:styleId="12">
    <w:name w:val="Table Text"/>
    <w:basedOn w:val="1"/>
    <w:semiHidden/>
    <w:qFormat/>
    <w:uiPriority w:val="0"/>
    <w:rPr>
      <w:rFonts w:ascii="宋体" w:hAnsi="宋体" w:eastAsia="宋体" w:cs="宋体"/>
      <w:sz w:val="24"/>
      <w:szCs w:val="24"/>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2594</Words>
  <Characters>2610</Characters>
  <Lines>0</Lines>
  <Paragraphs>0</Paragraphs>
  <TotalTime>2</TotalTime>
  <ScaleCrop>false</ScaleCrop>
  <LinksUpToDate>false</LinksUpToDate>
  <CharactersWithSpaces>2822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北猫</cp:lastModifiedBy>
  <dcterms:modified xsi:type="dcterms:W3CDTF">2026-06-17T07:27:27Z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7C19889509F449178C30FBF30659D265_13</vt:lpwstr>
  </property>
  <property fmtid="{D5CDD505-2E9C-101B-9397-08002B2CF9AE}" pid="4" name="KSOTemplateDocerSaveRecord">
    <vt:lpwstr>eyJoZGlkIjoiNDg5NzJmNzVhMDYwZDBhNGQ5ODVhYTc4NDg3NTY1NWQiLCJ1c2VySWQiOiI1MDI4MDY1ODgifQ==</vt:lpwstr>
  </property>
</Properties>
</file>