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版本号：ZY2026-ZB-GK110120260810001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新能源生活垃圾压缩车采购项目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ZY2026-ZB-GK1101</w:t>
      </w:r>
      <w:r>
        <w:br/>
      </w:r>
      <w:r>
        <w:br/>
      </w:r>
      <w:r>
        <w:br/>
      </w:r>
    </w:p>
    <w:p>
      <w:pPr>
        <w:pStyle w:val="null3"/>
        <w:jc w:val="center"/>
        <w:outlineLvl w:val="2"/>
      </w:pPr>
      <w:r>
        <w:rPr>
          <w:rFonts w:ascii="仿宋_GB2312" w:hAnsi="仿宋_GB2312" w:cs="仿宋_GB2312" w:eastAsia="仿宋_GB2312"/>
          <w:sz w:val="28"/>
          <w:b/>
        </w:rPr>
        <w:t>西安市碑林区城市管理和综合执法局（本级）</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西安市碑林区城市管理和综合执法局（本级）</w:t>
      </w:r>
      <w:r>
        <w:rPr>
          <w:rFonts w:ascii="仿宋_GB2312" w:hAnsi="仿宋_GB2312" w:cs="仿宋_GB2312" w:eastAsia="仿宋_GB2312"/>
        </w:rPr>
        <w:t>委托，拟对</w:t>
      </w:r>
      <w:r>
        <w:rPr>
          <w:rFonts w:ascii="仿宋_GB2312" w:hAnsi="仿宋_GB2312" w:cs="仿宋_GB2312" w:eastAsia="仿宋_GB2312"/>
        </w:rPr>
        <w:t>新能源生活垃圾压缩车采购项目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ZY2026-ZB-GK1101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新能源生活垃圾压缩车采购项目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本项目为新能源生活垃圾压缩车采购项目。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1、具有独立承担民事责任的能力：提供有效合格的具有统一社会信用代码的营业执照，其他组织经营的需提供合法凭证，自然人提供身份证明文件。</w:t>
      </w:r>
    </w:p>
    <w:p>
      <w:pPr>
        <w:pStyle w:val="null3"/>
      </w:pPr>
      <w:r>
        <w:rPr>
          <w:rFonts w:ascii="仿宋_GB2312" w:hAnsi="仿宋_GB2312" w:cs="仿宋_GB2312" w:eastAsia="仿宋_GB2312"/>
        </w:rPr>
        <w:t>2、具有健全的财务会计制度：提供2025年度经审计的完整财务审计报告或投标截止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3、依法缴纳税收的良好记录：提供投标截止日前一年内（不含开标当月）已缴纳的至少一个月的纳税证明（时间以税款所属日期为准)，依法免税的单位应提供相关证明材料。</w:t>
      </w:r>
    </w:p>
    <w:p>
      <w:pPr>
        <w:pStyle w:val="null3"/>
      </w:pPr>
      <w:r>
        <w:rPr>
          <w:rFonts w:ascii="仿宋_GB2312" w:hAnsi="仿宋_GB2312" w:cs="仿宋_GB2312" w:eastAsia="仿宋_GB2312"/>
        </w:rPr>
        <w:t>4、依法缴纳社会保障资金的良好记录：提供投标截止日前一年内（不含开标当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5、具有履行合同所必需的设备和专业技术能力：提供具有履行本合同所必需的设备和专业技术能力的书面声明。</w:t>
      </w:r>
    </w:p>
    <w:p>
      <w:pPr>
        <w:pStyle w:val="null3"/>
      </w:pPr>
      <w:r>
        <w:rPr>
          <w:rFonts w:ascii="仿宋_GB2312" w:hAnsi="仿宋_GB2312" w:cs="仿宋_GB2312" w:eastAsia="仿宋_GB2312"/>
        </w:rPr>
        <w:t>6、参加政府采购活动前三年内，在经营活动中没有重大违法记录：提供参加本次政府采购活动前三年内在经营活动中没有重大违法记录的书面声明。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具有良好的商业信誉：投标人未被列入信用中国网站(www.creditchina.gov.cn)“失信被执行人、重大税收违法失信主体”；不处于中国政府采购网(www.ccgp.gov.cn)“政府采购严重违法失信行为信息记录”中的禁止参加政府采购活动期间。（以开标现场代理机构查询结果为准）</w:t>
      </w:r>
    </w:p>
    <w:p>
      <w:pPr>
        <w:pStyle w:val="null3"/>
      </w:pPr>
      <w:r>
        <w:rPr>
          <w:rFonts w:ascii="仿宋_GB2312" w:hAnsi="仿宋_GB2312" w:cs="仿宋_GB2312" w:eastAsia="仿宋_GB2312"/>
        </w:rPr>
        <w:t>8、法定代表人身份证明书/授权委托书：法定代表人参加投标时，提供法定代表人身份证明书；被授权人参加投标时，提供授权委托书及被授权人投标前（不含投标当月）三个月至少一个月在本单位缴纳的基本养老保险参保缴费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西安市碑林区城市管理和综合执法局（本级）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碑林区雁塔北路23号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029-62651335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和《关于招标代理服务收费有关问题的通知》(发改办价格[2003]857号）的有关规定执行。中标人在领取中标通知书前，须向招标代理机构一次性支付采购代理服务费。代理费缴存账户信息： 户名：陕西正翼项目管理咨询有限公司； 开户行：中国民生银行股份有限公司西安经济技术开发区支行； 账号：152605604（备注：项目编号+代理服务费）。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西安市碑林区城市管理和综合执法局（本级）</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西安市碑林区城市管理和综合执法局（本级）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西安市碑林区城市管理和综合执法局（本级）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全部产品的所有权、使用权、转让权及收益权等一切权利，均由采购人享有。1、供应商保证其交付的全部货物、软件及服务，未侵犯任何第三方的专利权、商标权、著作权、商业秘密或其他知识产权。2、如因供应商提供的货物或服务发生第三方知识产权侵权指控，供应商应承担全部法律责任和费用（包括但不限于赔偿款、诉讼费、律师费、鉴定费等），并确保采购人能够继续使用该货物，或免费为采购人更换不侵权的同等货物。</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符合国家标准和采购人要求。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联系人：张晶</w:t>
      </w:r>
    </w:p>
    <w:p>
      <w:pPr>
        <w:pStyle w:val="null3"/>
      </w:pPr>
      <w:r>
        <w:rPr>
          <w:rFonts w:ascii="仿宋_GB2312" w:hAnsi="仿宋_GB2312" w:cs="仿宋_GB2312" w:eastAsia="仿宋_GB2312"/>
        </w:rPr>
        <w:t>联系电话：029-86210100转611</w:t>
      </w:r>
    </w:p>
    <w:p>
      <w:pPr>
        <w:pStyle w:val="null3"/>
      </w:pPr>
      <w:r>
        <w:rPr>
          <w:rFonts w:ascii="仿宋_GB2312" w:hAnsi="仿宋_GB2312" w:cs="仿宋_GB2312" w:eastAsia="仿宋_GB2312"/>
        </w:rPr>
        <w:t>地址：陕西省西安市经济技术开发区凤城五路123号秦创原·软科中心B座11层1101室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本项目为新能源生活垃圾压缩车采购项目。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34,500,000.00</w:t>
      </w:r>
    </w:p>
    <w:p>
      <w:pPr>
        <w:pStyle w:val="null3"/>
      </w:pPr>
      <w:r>
        <w:rPr>
          <w:rFonts w:ascii="仿宋_GB2312" w:hAnsi="仿宋_GB2312" w:cs="仿宋_GB2312" w:eastAsia="仿宋_GB2312"/>
        </w:rPr>
        <w:t>采购包最高限价（元）: 34,500,000.00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新能源生活垃圾压缩车采购项目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标的名称：新能源生活垃圾压缩车采购项目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color w:val="000000"/>
              </w:rPr>
              <w:t>一、投标报价</w:t>
            </w:r>
          </w:p>
          <w:p>
            <w:pPr>
              <w:pStyle w:val="null3"/>
              <w:ind w:firstLine="400"/>
            </w:pPr>
            <w:r>
              <w:rPr>
                <w:rFonts w:ascii="仿宋_GB2312" w:hAnsi="仿宋_GB2312" w:cs="仿宋_GB2312" w:eastAsia="仿宋_GB2312"/>
                <w:sz w:val="20"/>
                <w:color w:val="000000"/>
              </w:rPr>
              <w:t>投标报价包含但不仅限于：产品费、材料费、运杂费、安装费、售后服务费、培训费、保险费、相关伴随费用等的一切费用。</w:t>
            </w:r>
          </w:p>
          <w:p>
            <w:pPr>
              <w:pStyle w:val="null3"/>
              <w:ind w:firstLine="400"/>
            </w:pPr>
            <w:r>
              <w:rPr>
                <w:rFonts w:ascii="仿宋_GB2312" w:hAnsi="仿宋_GB2312" w:cs="仿宋_GB2312" w:eastAsia="仿宋_GB2312"/>
                <w:sz w:val="20"/>
                <w:color w:val="000000"/>
              </w:rPr>
              <w:t>报价中含车辆购置税、车辆挂牌费、车辆保险费（一年）；车辆投保险种及要求：交强险（含车船使用税）；车辆损失险；第三者责任险</w:t>
            </w:r>
            <w:r>
              <w:rPr>
                <w:rFonts w:ascii="仿宋_GB2312" w:hAnsi="仿宋_GB2312" w:cs="仿宋_GB2312" w:eastAsia="仿宋_GB2312"/>
                <w:sz w:val="20"/>
                <w:color w:val="000000"/>
              </w:rPr>
              <w:t>(不低于200万元/辆)；合同有效期内，合同价一次包死，不受国家政策性调价或原材料价格变化的影响，并作为最终结算的唯一依据。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产品要求</w:t>
            </w:r>
          </w:p>
          <w:p>
            <w:pPr>
              <w:pStyle w:val="null3"/>
              <w:ind w:firstLine="402"/>
            </w:pPr>
            <w:r>
              <w:rPr>
                <w:rFonts w:ascii="仿宋_GB2312" w:hAnsi="仿宋_GB2312" w:cs="仿宋_GB2312" w:eastAsia="仿宋_GB2312"/>
                <w:sz w:val="20"/>
                <w:b/>
                <w:color w:val="000000"/>
              </w:rPr>
              <w:t>核心产品：</w:t>
            </w:r>
            <w:r>
              <w:rPr>
                <w:rFonts w:ascii="仿宋_GB2312" w:hAnsi="仿宋_GB2312" w:cs="仿宋_GB2312" w:eastAsia="仿宋_GB2312"/>
                <w:sz w:val="20"/>
                <w:color w:val="000000"/>
              </w:rPr>
              <w:t>32吨纯电动压缩式垃圾车</w:t>
            </w:r>
          </w:p>
          <w:p>
            <w:pPr>
              <w:pStyle w:val="null3"/>
              <w:ind w:firstLine="402"/>
            </w:pPr>
            <w:r>
              <w:rPr>
                <w:rFonts w:ascii="仿宋_GB2312" w:hAnsi="仿宋_GB2312" w:cs="仿宋_GB2312" w:eastAsia="仿宋_GB2312"/>
                <w:sz w:val="20"/>
                <w:b/>
                <w:color w:val="000000"/>
              </w:rPr>
              <w:t>产品一：</w:t>
            </w:r>
            <w:r>
              <w:rPr>
                <w:rFonts w:ascii="仿宋_GB2312" w:hAnsi="仿宋_GB2312" w:cs="仿宋_GB2312" w:eastAsia="仿宋_GB2312"/>
                <w:sz w:val="20"/>
                <w:b/>
                <w:color w:val="000000"/>
              </w:rPr>
              <w:t>32吨纯电动压缩式垃圾车。</w:t>
            </w:r>
          </w:p>
          <w:p>
            <w:pPr>
              <w:pStyle w:val="null3"/>
              <w:ind w:firstLine="400"/>
            </w:pPr>
            <w:r>
              <w:rPr>
                <w:rFonts w:ascii="仿宋_GB2312" w:hAnsi="仿宋_GB2312" w:cs="仿宋_GB2312" w:eastAsia="仿宋_GB2312"/>
                <w:sz w:val="20"/>
                <w:color w:val="000000"/>
              </w:rPr>
              <w:t>1.采购数量：25辆</w:t>
            </w:r>
          </w:p>
          <w:p>
            <w:pPr>
              <w:pStyle w:val="null3"/>
              <w:ind w:firstLine="400"/>
            </w:pPr>
            <w:r>
              <w:rPr>
                <w:rFonts w:ascii="仿宋_GB2312" w:hAnsi="仿宋_GB2312" w:cs="仿宋_GB2312" w:eastAsia="仿宋_GB2312"/>
                <w:sz w:val="20"/>
                <w:color w:val="000000"/>
              </w:rPr>
              <w:t>2.技术参数</w:t>
            </w:r>
          </w:p>
          <w:p>
            <w:pPr>
              <w:pStyle w:val="null3"/>
              <w:ind w:firstLine="201"/>
            </w:pPr>
            <w:r>
              <w:rPr>
                <w:rFonts w:ascii="仿宋_GB2312" w:hAnsi="仿宋_GB2312" w:cs="仿宋_GB2312" w:eastAsia="仿宋_GB2312"/>
                <w:sz w:val="20"/>
                <w:b/>
                <w:color w:val="000000"/>
              </w:rPr>
              <w:t>★①总质量：≥32000kg；</w:t>
            </w:r>
          </w:p>
          <w:p>
            <w:pPr>
              <w:pStyle w:val="null3"/>
              <w:ind w:firstLine="400"/>
            </w:pPr>
            <w:r>
              <w:rPr>
                <w:rFonts w:ascii="仿宋_GB2312" w:hAnsi="仿宋_GB2312" w:cs="仿宋_GB2312" w:eastAsia="仿宋_GB2312"/>
                <w:sz w:val="20"/>
                <w:color w:val="000000"/>
              </w:rPr>
              <w:t>②</w:t>
            </w:r>
            <w:r>
              <w:rPr>
                <w:rFonts w:ascii="仿宋_GB2312" w:hAnsi="仿宋_GB2312" w:cs="仿宋_GB2312" w:eastAsia="仿宋_GB2312"/>
                <w:sz w:val="20"/>
                <w:color w:val="000000"/>
              </w:rPr>
              <w:t>底盘：纯电动</w:t>
            </w:r>
            <w:r>
              <w:rPr>
                <w:rFonts w:ascii="仿宋_GB2312" w:hAnsi="仿宋_GB2312" w:cs="仿宋_GB2312" w:eastAsia="仿宋_GB2312"/>
                <w:sz w:val="20"/>
                <w:color w:val="000000"/>
              </w:rPr>
              <w:t>二类</w:t>
            </w:r>
            <w:r>
              <w:rPr>
                <w:rFonts w:ascii="仿宋_GB2312" w:hAnsi="仿宋_GB2312" w:cs="仿宋_GB2312" w:eastAsia="仿宋_GB2312"/>
                <w:sz w:val="20"/>
                <w:color w:val="000000"/>
              </w:rPr>
              <w:t>底盘；</w:t>
            </w:r>
          </w:p>
          <w:p>
            <w:pPr>
              <w:pStyle w:val="null3"/>
              <w:ind w:firstLine="400"/>
            </w:pPr>
            <w:r>
              <w:rPr>
                <w:rFonts w:ascii="仿宋_GB2312" w:hAnsi="仿宋_GB2312" w:cs="仿宋_GB2312" w:eastAsia="仿宋_GB2312"/>
                <w:sz w:val="20"/>
                <w:color w:val="000000"/>
              </w:rPr>
              <w:t>③</w:t>
            </w:r>
            <w:r>
              <w:rPr>
                <w:rFonts w:ascii="仿宋_GB2312" w:hAnsi="仿宋_GB2312" w:cs="仿宋_GB2312" w:eastAsia="仿宋_GB2312"/>
                <w:sz w:val="20"/>
                <w:color w:val="000000"/>
              </w:rPr>
              <w:t>电池类型：磷酸铁锂</w:t>
            </w:r>
            <w:r>
              <w:rPr>
                <w:rFonts w:ascii="仿宋_GB2312" w:hAnsi="仿宋_GB2312" w:cs="仿宋_GB2312" w:eastAsia="仿宋_GB2312"/>
                <w:sz w:val="20"/>
                <w:color w:val="000000"/>
              </w:rPr>
              <w:t>电池</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④</w:t>
            </w:r>
            <w:r>
              <w:rPr>
                <w:rFonts w:ascii="仿宋_GB2312" w:hAnsi="仿宋_GB2312" w:cs="仿宋_GB2312" w:eastAsia="仿宋_GB2312"/>
                <w:sz w:val="20"/>
                <w:color w:val="000000"/>
              </w:rPr>
              <w:t>额定载质量：</w:t>
            </w:r>
            <w:r>
              <w:rPr>
                <w:rFonts w:ascii="仿宋_GB2312" w:hAnsi="仿宋_GB2312" w:cs="仿宋_GB2312" w:eastAsia="仿宋_GB2312"/>
                <w:sz w:val="20"/>
                <w:color w:val="000000"/>
              </w:rPr>
              <w:t>≥11900kg；</w:t>
            </w:r>
          </w:p>
          <w:p>
            <w:pPr>
              <w:pStyle w:val="null3"/>
              <w:ind w:firstLine="201"/>
            </w:pPr>
            <w:r>
              <w:rPr>
                <w:rFonts w:ascii="仿宋_GB2312" w:hAnsi="仿宋_GB2312" w:cs="仿宋_GB2312" w:eastAsia="仿宋_GB2312"/>
                <w:sz w:val="20"/>
                <w:b/>
                <w:color w:val="000000"/>
              </w:rPr>
              <w:t>▲</w:t>
            </w:r>
            <w:r>
              <w:rPr>
                <w:rFonts w:ascii="仿宋_GB2312" w:hAnsi="仿宋_GB2312" w:cs="仿宋_GB2312" w:eastAsia="仿宋_GB2312"/>
                <w:sz w:val="20"/>
                <w:color w:val="000000"/>
              </w:rPr>
              <w:t>⑤</w:t>
            </w:r>
            <w:r>
              <w:rPr>
                <w:rFonts w:ascii="仿宋_GB2312" w:hAnsi="仿宋_GB2312" w:cs="仿宋_GB2312" w:eastAsia="仿宋_GB2312"/>
                <w:sz w:val="20"/>
                <w:b/>
                <w:color w:val="000000"/>
              </w:rPr>
              <w:t>外形尺寸（长</w:t>
            </w:r>
            <w:r>
              <w:rPr>
                <w:rFonts w:ascii="仿宋_GB2312" w:hAnsi="仿宋_GB2312" w:cs="仿宋_GB2312" w:eastAsia="仿宋_GB2312"/>
                <w:sz w:val="20"/>
                <w:b/>
                <w:color w:val="000000"/>
              </w:rPr>
              <w:t>×宽×高）：≤11500×2550×3750（mm）；</w:t>
            </w:r>
          </w:p>
          <w:p>
            <w:pPr>
              <w:pStyle w:val="null3"/>
              <w:ind w:firstLine="400"/>
            </w:pPr>
            <w:r>
              <w:rPr>
                <w:rFonts w:ascii="仿宋_GB2312" w:hAnsi="仿宋_GB2312" w:cs="仿宋_GB2312" w:eastAsia="仿宋_GB2312"/>
                <w:sz w:val="20"/>
                <w:color w:val="000000"/>
              </w:rPr>
              <w:t>⑥轴距：≥1850+3550+1350（mm）；</w:t>
            </w:r>
          </w:p>
          <w:p>
            <w:pPr>
              <w:pStyle w:val="null3"/>
              <w:ind w:firstLine="201"/>
            </w:pPr>
            <w:r>
              <w:rPr>
                <w:rFonts w:ascii="仿宋_GB2312" w:hAnsi="仿宋_GB2312" w:cs="仿宋_GB2312" w:eastAsia="仿宋_GB2312"/>
                <w:sz w:val="20"/>
                <w:b/>
                <w:color w:val="000000"/>
              </w:rPr>
              <w:t>▲</w:t>
            </w:r>
            <w:r>
              <w:rPr>
                <w:rFonts w:ascii="仿宋_GB2312" w:hAnsi="仿宋_GB2312" w:cs="仿宋_GB2312" w:eastAsia="仿宋_GB2312"/>
                <w:sz w:val="20"/>
                <w:color w:val="000000"/>
              </w:rPr>
              <w:t>⑦</w:t>
            </w:r>
            <w:r>
              <w:rPr>
                <w:rFonts w:ascii="仿宋_GB2312" w:hAnsi="仿宋_GB2312" w:cs="仿宋_GB2312" w:eastAsia="仿宋_GB2312"/>
                <w:sz w:val="20"/>
                <w:b/>
                <w:color w:val="000000"/>
              </w:rPr>
              <w:t>前悬</w:t>
            </w:r>
            <w:r>
              <w:rPr>
                <w:rFonts w:ascii="仿宋_GB2312" w:hAnsi="仿宋_GB2312" w:cs="仿宋_GB2312" w:eastAsia="仿宋_GB2312"/>
                <w:sz w:val="20"/>
                <w:b/>
                <w:color w:val="000000"/>
              </w:rPr>
              <w:t>/后悬：≤1480/3000（mm）；</w:t>
            </w:r>
          </w:p>
          <w:p>
            <w:pPr>
              <w:pStyle w:val="null3"/>
              <w:ind w:firstLine="402"/>
            </w:pPr>
            <w:r>
              <w:rPr>
                <w:rFonts w:ascii="仿宋_GB2312" w:hAnsi="仿宋_GB2312" w:cs="仿宋_GB2312" w:eastAsia="仿宋_GB2312"/>
                <w:sz w:val="20"/>
                <w:b/>
                <w:color w:val="000000"/>
              </w:rPr>
              <w:t>⑧</w:t>
            </w:r>
            <w:r>
              <w:rPr>
                <w:rFonts w:ascii="仿宋_GB2312" w:hAnsi="仿宋_GB2312" w:cs="仿宋_GB2312" w:eastAsia="仿宋_GB2312"/>
                <w:sz w:val="20"/>
                <w:color w:val="000000"/>
              </w:rPr>
              <w:t>最小转弯直径：</w:t>
            </w:r>
            <w:r>
              <w:rPr>
                <w:rFonts w:ascii="仿宋_GB2312" w:hAnsi="仿宋_GB2312" w:cs="仿宋_GB2312" w:eastAsia="仿宋_GB2312"/>
                <w:sz w:val="20"/>
                <w:color w:val="000000"/>
              </w:rPr>
              <w:t>≤25m；</w:t>
            </w:r>
          </w:p>
          <w:p>
            <w:pPr>
              <w:pStyle w:val="null3"/>
              <w:ind w:firstLine="400"/>
            </w:pPr>
            <w:r>
              <w:rPr>
                <w:rFonts w:ascii="仿宋_GB2312" w:hAnsi="仿宋_GB2312" w:cs="仿宋_GB2312" w:eastAsia="仿宋_GB2312"/>
                <w:sz w:val="20"/>
                <w:color w:val="000000"/>
              </w:rPr>
              <w:t>⑨</w:t>
            </w:r>
            <w:r>
              <w:rPr>
                <w:rFonts w:ascii="仿宋_GB2312" w:hAnsi="仿宋_GB2312" w:cs="仿宋_GB2312" w:eastAsia="仿宋_GB2312"/>
                <w:sz w:val="20"/>
                <w:color w:val="000000"/>
              </w:rPr>
              <w:t>驱动电机峰值功率：</w:t>
            </w:r>
            <w:r>
              <w:rPr>
                <w:rFonts w:ascii="仿宋_GB2312" w:hAnsi="仿宋_GB2312" w:cs="仿宋_GB2312" w:eastAsia="仿宋_GB2312"/>
                <w:sz w:val="20"/>
                <w:color w:val="000000"/>
              </w:rPr>
              <w:t>≥360kW；</w:t>
            </w:r>
          </w:p>
          <w:p>
            <w:pPr>
              <w:pStyle w:val="null3"/>
              <w:ind w:firstLine="201"/>
            </w:pPr>
            <w:r>
              <w:rPr>
                <w:rFonts w:ascii="仿宋_GB2312" w:hAnsi="仿宋_GB2312" w:cs="仿宋_GB2312" w:eastAsia="仿宋_GB2312"/>
                <w:sz w:val="20"/>
                <w:b/>
                <w:color w:val="000000"/>
              </w:rPr>
              <w:t>▲</w:t>
            </w:r>
            <w:r>
              <w:rPr>
                <w:rFonts w:ascii="仿宋_GB2312" w:hAnsi="仿宋_GB2312" w:cs="仿宋_GB2312" w:eastAsia="仿宋_GB2312"/>
                <w:sz w:val="20"/>
                <w:color w:val="000000"/>
              </w:rPr>
              <w:t>⑩</w:t>
            </w:r>
            <w:r>
              <w:rPr>
                <w:rFonts w:ascii="仿宋_GB2312" w:hAnsi="仿宋_GB2312" w:cs="仿宋_GB2312" w:eastAsia="仿宋_GB2312"/>
                <w:sz w:val="20"/>
                <w:b/>
                <w:color w:val="000000"/>
              </w:rPr>
              <w:t>动力电池总储电量：</w:t>
            </w:r>
            <w:r>
              <w:rPr>
                <w:rFonts w:ascii="仿宋_GB2312" w:hAnsi="仿宋_GB2312" w:cs="仿宋_GB2312" w:eastAsia="仿宋_GB2312"/>
                <w:sz w:val="20"/>
                <w:b/>
                <w:color w:val="000000"/>
              </w:rPr>
              <w:t>≥350kWh；</w:t>
            </w:r>
          </w:p>
          <w:p>
            <w:pPr>
              <w:pStyle w:val="null3"/>
              <w:ind w:firstLine="400"/>
            </w:pPr>
            <w:r>
              <w:rPr>
                <w:rFonts w:ascii="仿宋_GB2312" w:hAnsi="仿宋_GB2312" w:cs="仿宋_GB2312" w:eastAsia="仿宋_GB2312"/>
                <w:sz w:val="20"/>
                <w:color w:val="000000"/>
              </w:rPr>
              <w:t>⑪续驶里程：≥280Km；</w:t>
            </w:r>
          </w:p>
          <w:p>
            <w:pPr>
              <w:pStyle w:val="null3"/>
              <w:ind w:firstLine="400"/>
            </w:pPr>
            <w:r>
              <w:rPr>
                <w:rFonts w:ascii="仿宋_GB2312" w:hAnsi="仿宋_GB2312" w:cs="仿宋_GB2312" w:eastAsia="仿宋_GB2312"/>
                <w:sz w:val="20"/>
                <w:color w:val="000000"/>
              </w:rPr>
              <w:t>⑫</w:t>
            </w:r>
            <w:r>
              <w:rPr>
                <w:rFonts w:ascii="仿宋_GB2312" w:hAnsi="仿宋_GB2312" w:cs="仿宋_GB2312" w:eastAsia="仿宋_GB2312"/>
                <w:sz w:val="20"/>
                <w:color w:val="000000"/>
              </w:rPr>
              <w:t>垃圾箱容积：</w:t>
            </w:r>
            <w:r>
              <w:rPr>
                <w:rFonts w:ascii="仿宋_GB2312" w:hAnsi="仿宋_GB2312" w:cs="仿宋_GB2312" w:eastAsia="仿宋_GB2312"/>
                <w:sz w:val="20"/>
                <w:color w:val="000000"/>
              </w:rPr>
              <w:t>≥20m³；</w:t>
            </w:r>
          </w:p>
          <w:p>
            <w:pPr>
              <w:pStyle w:val="null3"/>
              <w:ind w:firstLine="480"/>
            </w:pPr>
            <w:r>
              <w:rPr>
                <w:rFonts w:ascii="仿宋_GB2312" w:hAnsi="仿宋_GB2312" w:cs="仿宋_GB2312" w:eastAsia="仿宋_GB2312"/>
                <w:sz w:val="20"/>
                <w:color w:val="000000"/>
              </w:rPr>
              <w:t>⑬污水箱容积：≥300L；</w:t>
            </w:r>
          </w:p>
          <w:p>
            <w:pPr>
              <w:pStyle w:val="null3"/>
            </w:pPr>
            <w:r>
              <w:rPr>
                <w:rFonts w:ascii="仿宋_GB2312" w:hAnsi="仿宋_GB2312" w:cs="仿宋_GB2312" w:eastAsia="仿宋_GB2312"/>
                <w:sz w:val="20"/>
                <w:color w:val="000000"/>
              </w:rPr>
              <w:t xml:space="preserve">   ⑭</w:t>
            </w:r>
            <w:r>
              <w:rPr>
                <w:rFonts w:ascii="仿宋_GB2312" w:hAnsi="仿宋_GB2312" w:cs="仿宋_GB2312" w:eastAsia="仿宋_GB2312"/>
                <w:sz w:val="20"/>
                <w:color w:val="000000"/>
              </w:rPr>
              <w:t>卸料循环时间：</w:t>
            </w:r>
            <w:r>
              <w:rPr>
                <w:rFonts w:ascii="仿宋_GB2312" w:hAnsi="仿宋_GB2312" w:cs="仿宋_GB2312" w:eastAsia="仿宋_GB2312"/>
                <w:sz w:val="20"/>
                <w:color w:val="000000"/>
              </w:rPr>
              <w:t>≤75s；</w:t>
            </w:r>
          </w:p>
          <w:p>
            <w:pPr>
              <w:pStyle w:val="null3"/>
              <w:ind w:firstLine="400"/>
            </w:pPr>
            <w:r>
              <w:rPr>
                <w:rFonts w:ascii="仿宋_GB2312" w:hAnsi="仿宋_GB2312" w:cs="仿宋_GB2312" w:eastAsia="仿宋_GB2312"/>
                <w:sz w:val="20"/>
                <w:color w:val="000000"/>
              </w:rPr>
              <w:t>3.车辆性能要求</w:t>
            </w:r>
          </w:p>
          <w:p>
            <w:pPr>
              <w:pStyle w:val="null3"/>
              <w:ind w:firstLine="201"/>
            </w:pPr>
            <w:r>
              <w:rPr>
                <w:rFonts w:ascii="仿宋_GB2312" w:hAnsi="仿宋_GB2312" w:cs="仿宋_GB2312" w:eastAsia="仿宋_GB2312"/>
                <w:sz w:val="20"/>
                <w:b/>
                <w:color w:val="000000"/>
              </w:rPr>
              <w:t>▲①采用双向压缩，液压系统采用双联油泵，双泵可合流；</w:t>
            </w:r>
          </w:p>
          <w:p>
            <w:pPr>
              <w:pStyle w:val="null3"/>
              <w:ind w:firstLine="400"/>
            </w:pPr>
            <w:r>
              <w:rPr>
                <w:rFonts w:ascii="仿宋_GB2312" w:hAnsi="仿宋_GB2312" w:cs="仿宋_GB2312" w:eastAsia="仿宋_GB2312"/>
                <w:sz w:val="20"/>
                <w:color w:val="000000"/>
              </w:rPr>
              <w:t>②采用独立油缸控制的可调式锁紧机构，对填装器进行锁紧；</w:t>
            </w:r>
          </w:p>
          <w:p>
            <w:pPr>
              <w:pStyle w:val="null3"/>
              <w:ind w:firstLine="400"/>
            </w:pPr>
            <w:r>
              <w:rPr>
                <w:rFonts w:ascii="仿宋_GB2312" w:hAnsi="仿宋_GB2312" w:cs="仿宋_GB2312" w:eastAsia="仿宋_GB2312"/>
                <w:sz w:val="20"/>
                <w:color w:val="000000"/>
              </w:rPr>
              <w:t>③电气系统采用“CAN总线+专用控制器模式”，并配置有保险继电器盒，防护等级不低于IP65；</w:t>
            </w:r>
          </w:p>
          <w:p>
            <w:pPr>
              <w:pStyle w:val="null3"/>
              <w:ind w:firstLine="400"/>
            </w:pPr>
            <w:r>
              <w:rPr>
                <w:rFonts w:ascii="仿宋_GB2312" w:hAnsi="仿宋_GB2312" w:cs="仿宋_GB2312" w:eastAsia="仿宋_GB2312"/>
                <w:sz w:val="20"/>
                <w:color w:val="000000"/>
              </w:rPr>
              <w:t>④压填机构滑板采用整体式尼龙滑块，选用高耐磨MC尼龙，具有自润滑功能和自排除垃圾能力；</w:t>
            </w:r>
          </w:p>
          <w:p>
            <w:pPr>
              <w:pStyle w:val="null3"/>
              <w:ind w:firstLine="400"/>
            </w:pPr>
            <w:r>
              <w:rPr>
                <w:rFonts w:ascii="仿宋_GB2312" w:hAnsi="仿宋_GB2312" w:cs="仿宋_GB2312" w:eastAsia="仿宋_GB2312"/>
                <w:sz w:val="20"/>
                <w:color w:val="000000"/>
              </w:rPr>
              <w:t>⑤上料机构、压缩机构运动铰点处装有自润滑轴承，降低轴孔处的磨损；</w:t>
            </w:r>
          </w:p>
          <w:p>
            <w:pPr>
              <w:pStyle w:val="null3"/>
              <w:ind w:firstLine="400"/>
            </w:pPr>
            <w:r>
              <w:rPr>
                <w:rFonts w:ascii="仿宋_GB2312" w:hAnsi="仿宋_GB2312" w:cs="仿宋_GB2312" w:eastAsia="仿宋_GB2312"/>
                <w:sz w:val="20"/>
                <w:color w:val="000000"/>
              </w:rPr>
              <w:t>⑥配备有声音报警系统能在卸料和维护作业时发出声音警示，提示操作人员谨慎操作；</w:t>
            </w:r>
          </w:p>
          <w:p>
            <w:pPr>
              <w:pStyle w:val="null3"/>
              <w:ind w:firstLine="400"/>
            </w:pPr>
            <w:r>
              <w:rPr>
                <w:rFonts w:ascii="仿宋_GB2312" w:hAnsi="仿宋_GB2312" w:cs="仿宋_GB2312" w:eastAsia="仿宋_GB2312"/>
                <w:sz w:val="20"/>
                <w:color w:val="000000"/>
              </w:rPr>
              <w:t>⑦填装器举升油缸设计有平衡阀，即使油管爆裂，填装器也不会突然下降造成恶性事故；</w:t>
            </w:r>
          </w:p>
          <w:p>
            <w:pPr>
              <w:pStyle w:val="null3"/>
              <w:ind w:firstLine="400"/>
            </w:pPr>
            <w:r>
              <w:rPr>
                <w:rFonts w:ascii="仿宋_GB2312" w:hAnsi="仿宋_GB2312" w:cs="仿宋_GB2312" w:eastAsia="仿宋_GB2312"/>
                <w:sz w:val="20"/>
                <w:color w:val="000000"/>
              </w:rPr>
              <w:t>⑧填装器底部除配置有大排污口外，还另外设计有排水球阀；</w:t>
            </w:r>
          </w:p>
          <w:p>
            <w:pPr>
              <w:pStyle w:val="null3"/>
              <w:ind w:firstLine="400"/>
            </w:pPr>
            <w:r>
              <w:rPr>
                <w:rFonts w:ascii="仿宋_GB2312" w:hAnsi="仿宋_GB2312" w:cs="仿宋_GB2312" w:eastAsia="仿宋_GB2312"/>
                <w:sz w:val="20"/>
                <w:color w:val="000000"/>
              </w:rPr>
              <w:t>⑨推铲顶部与左右两侧需采用碳钢调节板，同时可调节推铲与箱体间隙，杜绝垃圾进入推铲后部；</w:t>
            </w:r>
          </w:p>
          <w:p>
            <w:pPr>
              <w:pStyle w:val="null3"/>
              <w:ind w:firstLine="400"/>
            </w:pPr>
            <w:r>
              <w:rPr>
                <w:rFonts w:ascii="仿宋_GB2312" w:hAnsi="仿宋_GB2312" w:cs="仿宋_GB2312" w:eastAsia="仿宋_GB2312"/>
                <w:sz w:val="20"/>
                <w:color w:val="000000"/>
              </w:rPr>
              <w:t>⑩垃圾箱侧板、顶板、底板厚度≥4mm,其中侧板、顶板材料为高强度结构钢,底板材料为高品质耐腐蚀性强的耐候钢；刮板采用高强度焊接结构钢；填装器斗弧板、斗底板厚度≥8mm；</w:t>
            </w:r>
          </w:p>
          <w:p>
            <w:pPr>
              <w:pStyle w:val="null3"/>
              <w:ind w:firstLine="201"/>
            </w:pPr>
            <w:r>
              <w:rPr>
                <w:rFonts w:ascii="仿宋_GB2312" w:hAnsi="仿宋_GB2312" w:cs="仿宋_GB2312" w:eastAsia="仿宋_GB2312"/>
                <w:sz w:val="20"/>
                <w:b/>
                <w:color w:val="000000"/>
              </w:rPr>
              <w:t>▲⑪提供智慧环卫管理平台使用服务，可实时查看车辆轨迹、能耗统计、工况等数据，平台支持对车辆充电统计、维保、保险、年检在线管理，并支持一键服务网点查询、工单报修、AI在线故障问答等功能。</w:t>
            </w:r>
          </w:p>
          <w:p>
            <w:pPr>
              <w:pStyle w:val="null3"/>
              <w:ind w:firstLine="402"/>
            </w:pPr>
            <w:r>
              <w:rPr>
                <w:rFonts w:ascii="仿宋_GB2312" w:hAnsi="仿宋_GB2312" w:cs="仿宋_GB2312" w:eastAsia="仿宋_GB2312"/>
                <w:sz w:val="20"/>
                <w:b/>
                <w:color w:val="000000"/>
              </w:rPr>
              <w:t>产品二：双枪</w:t>
            </w:r>
            <w:r>
              <w:rPr>
                <w:rFonts w:ascii="仿宋_GB2312" w:hAnsi="仿宋_GB2312" w:cs="仿宋_GB2312" w:eastAsia="仿宋_GB2312"/>
                <w:sz w:val="20"/>
                <w:b/>
                <w:color w:val="000000"/>
              </w:rPr>
              <w:t>直流充电桩</w:t>
            </w:r>
          </w:p>
          <w:p>
            <w:pPr>
              <w:pStyle w:val="null3"/>
              <w:ind w:firstLine="400"/>
            </w:pPr>
            <w:r>
              <w:rPr>
                <w:rFonts w:ascii="仿宋_GB2312" w:hAnsi="仿宋_GB2312" w:cs="仿宋_GB2312" w:eastAsia="仿宋_GB2312"/>
                <w:sz w:val="20"/>
                <w:color w:val="000000"/>
              </w:rPr>
              <w:t>1.采购数量：25台</w:t>
            </w:r>
          </w:p>
          <w:p>
            <w:pPr>
              <w:pStyle w:val="null3"/>
              <w:ind w:firstLine="400"/>
            </w:pPr>
            <w:r>
              <w:rPr>
                <w:rFonts w:ascii="仿宋_GB2312" w:hAnsi="仿宋_GB2312" w:cs="仿宋_GB2312" w:eastAsia="仿宋_GB2312"/>
                <w:sz w:val="20"/>
                <w:color w:val="000000"/>
              </w:rPr>
              <w:t>2.技术参数</w:t>
            </w:r>
          </w:p>
          <w:p>
            <w:pPr>
              <w:pStyle w:val="null3"/>
              <w:ind w:firstLine="201"/>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①</w:t>
            </w:r>
            <w:r>
              <w:rPr>
                <w:rFonts w:ascii="仿宋_GB2312" w:hAnsi="仿宋_GB2312" w:cs="仿宋_GB2312" w:eastAsia="仿宋_GB2312"/>
                <w:sz w:val="20"/>
                <w:b/>
                <w:color w:val="000000"/>
              </w:rPr>
              <w:t>额定功率</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≥160kW；</w:t>
            </w:r>
          </w:p>
          <w:p>
            <w:pPr>
              <w:pStyle w:val="null3"/>
              <w:ind w:firstLine="400"/>
            </w:pPr>
            <w:r>
              <w:rPr>
                <w:rFonts w:ascii="仿宋_GB2312" w:hAnsi="仿宋_GB2312" w:cs="仿宋_GB2312" w:eastAsia="仿宋_GB2312"/>
                <w:sz w:val="20"/>
                <w:color w:val="000000"/>
              </w:rPr>
              <w:t>②</w:t>
            </w:r>
            <w:r>
              <w:rPr>
                <w:rFonts w:ascii="仿宋_GB2312" w:hAnsi="仿宋_GB2312" w:cs="仿宋_GB2312" w:eastAsia="仿宋_GB2312"/>
                <w:sz w:val="20"/>
                <w:color w:val="000000"/>
              </w:rPr>
              <w:t>安装方式：立式；</w:t>
            </w:r>
          </w:p>
          <w:p>
            <w:pPr>
              <w:pStyle w:val="null3"/>
              <w:ind w:firstLine="400"/>
            </w:pPr>
            <w:r>
              <w:rPr>
                <w:rFonts w:ascii="仿宋_GB2312" w:hAnsi="仿宋_GB2312" w:cs="仿宋_GB2312" w:eastAsia="仿宋_GB2312"/>
                <w:sz w:val="20"/>
                <w:color w:val="000000"/>
              </w:rPr>
              <w:t>③</w:t>
            </w:r>
            <w:r>
              <w:rPr>
                <w:rFonts w:ascii="仿宋_GB2312" w:hAnsi="仿宋_GB2312" w:cs="仿宋_GB2312" w:eastAsia="仿宋_GB2312"/>
                <w:sz w:val="20"/>
                <w:color w:val="000000"/>
              </w:rPr>
              <w:t>单枪输出最大电流：</w:t>
            </w:r>
            <w:r>
              <w:rPr>
                <w:rFonts w:ascii="仿宋_GB2312" w:hAnsi="仿宋_GB2312" w:cs="仿宋_GB2312" w:eastAsia="仿宋_GB2312"/>
                <w:sz w:val="20"/>
                <w:color w:val="000000"/>
              </w:rPr>
              <w:t>≥250A；</w:t>
            </w:r>
          </w:p>
          <w:p>
            <w:pPr>
              <w:pStyle w:val="null3"/>
              <w:ind w:firstLine="400"/>
            </w:pPr>
            <w:r>
              <w:rPr>
                <w:rFonts w:ascii="仿宋_GB2312" w:hAnsi="仿宋_GB2312" w:cs="仿宋_GB2312" w:eastAsia="仿宋_GB2312"/>
                <w:sz w:val="20"/>
                <w:color w:val="000000"/>
              </w:rPr>
              <w:t>④</w:t>
            </w:r>
            <w:r>
              <w:rPr>
                <w:rFonts w:ascii="仿宋_GB2312" w:hAnsi="仿宋_GB2312" w:cs="仿宋_GB2312" w:eastAsia="仿宋_GB2312"/>
                <w:sz w:val="20"/>
                <w:color w:val="000000"/>
              </w:rPr>
              <w:t>线缆长度：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m；</w:t>
            </w:r>
          </w:p>
          <w:p>
            <w:pPr>
              <w:pStyle w:val="null3"/>
              <w:ind w:firstLine="400"/>
            </w:pPr>
            <w:r>
              <w:rPr>
                <w:rFonts w:ascii="仿宋_GB2312" w:hAnsi="仿宋_GB2312" w:cs="仿宋_GB2312" w:eastAsia="仿宋_GB2312"/>
                <w:sz w:val="20"/>
                <w:color w:val="000000"/>
              </w:rPr>
              <w:t>⑤</w:t>
            </w:r>
            <w:r>
              <w:rPr>
                <w:rFonts w:ascii="仿宋_GB2312" w:hAnsi="仿宋_GB2312" w:cs="仿宋_GB2312" w:eastAsia="仿宋_GB2312"/>
                <w:sz w:val="20"/>
                <w:color w:val="000000"/>
              </w:rPr>
              <w:t>计量精度：</w:t>
            </w:r>
            <w:r>
              <w:rPr>
                <w:rFonts w:ascii="仿宋_GB2312" w:hAnsi="仿宋_GB2312" w:cs="仿宋_GB2312" w:eastAsia="仿宋_GB2312"/>
                <w:sz w:val="20"/>
                <w:color w:val="000000"/>
              </w:rPr>
              <w:t>1级；</w:t>
            </w:r>
          </w:p>
          <w:p>
            <w:pPr>
              <w:pStyle w:val="null3"/>
              <w:ind w:firstLine="400"/>
            </w:pPr>
            <w:r>
              <w:rPr>
                <w:rFonts w:ascii="仿宋_GB2312" w:hAnsi="仿宋_GB2312" w:cs="仿宋_GB2312" w:eastAsia="仿宋_GB2312"/>
                <w:sz w:val="20"/>
                <w:color w:val="000000"/>
              </w:rPr>
              <w:t>⑥</w:t>
            </w:r>
            <w:r>
              <w:rPr>
                <w:rFonts w:ascii="仿宋_GB2312" w:hAnsi="仿宋_GB2312" w:cs="仿宋_GB2312" w:eastAsia="仿宋_GB2312"/>
                <w:sz w:val="20"/>
                <w:color w:val="000000"/>
              </w:rPr>
              <w:t>稳压精度：</w:t>
            </w:r>
            <w:r>
              <w:rPr>
                <w:rFonts w:ascii="仿宋_GB2312" w:hAnsi="仿宋_GB2312" w:cs="仿宋_GB2312" w:eastAsia="仿宋_GB2312"/>
                <w:sz w:val="20"/>
                <w:color w:val="000000"/>
              </w:rPr>
              <w:t>≤±0.5%；</w:t>
            </w:r>
          </w:p>
          <w:p>
            <w:pPr>
              <w:pStyle w:val="null3"/>
              <w:ind w:firstLine="400"/>
            </w:pPr>
            <w:r>
              <w:rPr>
                <w:rFonts w:ascii="仿宋_GB2312" w:hAnsi="仿宋_GB2312" w:cs="仿宋_GB2312" w:eastAsia="仿宋_GB2312"/>
                <w:sz w:val="20"/>
                <w:color w:val="000000"/>
              </w:rPr>
              <w:t>⑦</w:t>
            </w:r>
            <w:r>
              <w:rPr>
                <w:rFonts w:ascii="仿宋_GB2312" w:hAnsi="仿宋_GB2312" w:cs="仿宋_GB2312" w:eastAsia="仿宋_GB2312"/>
                <w:sz w:val="20"/>
                <w:color w:val="000000"/>
              </w:rPr>
              <w:t>稳流精度：</w:t>
            </w:r>
            <w:r>
              <w:rPr>
                <w:rFonts w:ascii="仿宋_GB2312" w:hAnsi="仿宋_GB2312" w:cs="仿宋_GB2312" w:eastAsia="仿宋_GB2312"/>
                <w:sz w:val="20"/>
                <w:color w:val="000000"/>
              </w:rPr>
              <w:t>≤±1%；</w:t>
            </w:r>
          </w:p>
          <w:p>
            <w:pPr>
              <w:pStyle w:val="null3"/>
              <w:ind w:firstLine="400"/>
            </w:pPr>
            <w:r>
              <w:rPr>
                <w:rFonts w:ascii="仿宋_GB2312" w:hAnsi="仿宋_GB2312" w:cs="仿宋_GB2312" w:eastAsia="仿宋_GB2312"/>
                <w:sz w:val="20"/>
                <w:color w:val="000000"/>
              </w:rPr>
              <w:t>⑧</w:t>
            </w:r>
            <w:r>
              <w:rPr>
                <w:rFonts w:ascii="仿宋_GB2312" w:hAnsi="仿宋_GB2312" w:cs="仿宋_GB2312" w:eastAsia="仿宋_GB2312"/>
                <w:sz w:val="20"/>
                <w:color w:val="000000"/>
              </w:rPr>
              <w:t>效率：</w:t>
            </w:r>
            <w:r>
              <w:rPr>
                <w:rFonts w:ascii="仿宋_GB2312" w:hAnsi="仿宋_GB2312" w:cs="仿宋_GB2312" w:eastAsia="仿宋_GB2312"/>
                <w:sz w:val="20"/>
                <w:color w:val="000000"/>
              </w:rPr>
              <w:t>≥95%；</w:t>
            </w:r>
          </w:p>
          <w:p>
            <w:pPr>
              <w:pStyle w:val="null3"/>
              <w:ind w:firstLine="400"/>
            </w:pPr>
            <w:r>
              <w:rPr>
                <w:rFonts w:ascii="仿宋_GB2312" w:hAnsi="仿宋_GB2312" w:cs="仿宋_GB2312" w:eastAsia="仿宋_GB2312"/>
                <w:sz w:val="20"/>
                <w:color w:val="000000"/>
              </w:rPr>
              <w:t>⑨</w:t>
            </w:r>
            <w:r>
              <w:rPr>
                <w:rFonts w:ascii="仿宋_GB2312" w:hAnsi="仿宋_GB2312" w:cs="仿宋_GB2312" w:eastAsia="仿宋_GB2312"/>
                <w:sz w:val="20"/>
                <w:color w:val="000000"/>
              </w:rPr>
              <w:t>人机界面：</w:t>
            </w:r>
            <w:r>
              <w:rPr>
                <w:rFonts w:ascii="仿宋_GB2312" w:hAnsi="仿宋_GB2312" w:cs="仿宋_GB2312" w:eastAsia="仿宋_GB2312"/>
                <w:sz w:val="20"/>
                <w:color w:val="000000"/>
              </w:rPr>
              <w:t>≥7寸彩色显示触摸屏；</w:t>
            </w:r>
          </w:p>
          <w:p>
            <w:pPr>
              <w:pStyle w:val="null3"/>
              <w:ind w:firstLine="400"/>
            </w:pPr>
            <w:r>
              <w:rPr>
                <w:rFonts w:ascii="仿宋_GB2312" w:hAnsi="仿宋_GB2312" w:cs="仿宋_GB2312" w:eastAsia="仿宋_GB2312"/>
                <w:sz w:val="20"/>
                <w:color w:val="000000"/>
              </w:rPr>
              <w:t>⑩</w:t>
            </w:r>
            <w:r>
              <w:rPr>
                <w:rFonts w:ascii="仿宋_GB2312" w:hAnsi="仿宋_GB2312" w:cs="仿宋_GB2312" w:eastAsia="仿宋_GB2312"/>
                <w:sz w:val="20"/>
                <w:color w:val="000000"/>
              </w:rPr>
              <w:t>执行标准：</w:t>
            </w:r>
            <w:r>
              <w:rPr>
                <w:rFonts w:ascii="仿宋_GB2312" w:hAnsi="仿宋_GB2312" w:cs="仿宋_GB2312" w:eastAsia="仿宋_GB2312"/>
                <w:sz w:val="20"/>
                <w:color w:val="000000"/>
              </w:rPr>
              <w:t>GB/T20234、GB/T18487、GB/T27930、NB/T33008、NB/T33001；</w:t>
            </w:r>
          </w:p>
          <w:p>
            <w:pPr>
              <w:pStyle w:val="null3"/>
              <w:ind w:firstLine="400"/>
            </w:pPr>
            <w:r>
              <w:rPr>
                <w:rFonts w:ascii="仿宋_GB2312" w:hAnsi="仿宋_GB2312" w:cs="仿宋_GB2312" w:eastAsia="仿宋_GB2312"/>
                <w:sz w:val="20"/>
                <w:color w:val="000000"/>
              </w:rPr>
              <w:t>⑪ 充电枪：温度检测、过压保护、欠压保护、过载保护、短路保护、接地保护、过温保护、低温保护、绝缘监测保护、极性反接保护、防雷保护、急停保护、漏电保护；</w:t>
            </w:r>
          </w:p>
          <w:p>
            <w:pPr>
              <w:pStyle w:val="null3"/>
              <w:ind w:firstLine="400"/>
            </w:pPr>
            <w:r>
              <w:rPr>
                <w:rFonts w:ascii="仿宋_GB2312" w:hAnsi="仿宋_GB2312" w:cs="仿宋_GB2312" w:eastAsia="仿宋_GB2312"/>
                <w:sz w:val="20"/>
                <w:color w:val="000000"/>
              </w:rPr>
              <w:t>⑫防护等级≥IP54</w:t>
            </w:r>
            <w:r>
              <w:rPr>
                <w:rFonts w:ascii="仿宋_GB2312" w:hAnsi="仿宋_GB2312" w:cs="仿宋_GB2312" w:eastAsia="仿宋_GB2312"/>
                <w:sz w:val="20"/>
                <w:color w:val="000000"/>
              </w:rPr>
              <w:t>；</w:t>
            </w:r>
          </w:p>
          <w:p>
            <w:pPr>
              <w:pStyle w:val="null3"/>
              <w:ind w:firstLine="200"/>
            </w:pPr>
            <w:r>
              <w:rPr>
                <w:rFonts w:ascii="仿宋_GB2312" w:hAnsi="仿宋_GB2312" w:cs="仿宋_GB2312" w:eastAsia="仿宋_GB2312"/>
                <w:sz w:val="20"/>
                <w:color w:val="000000"/>
              </w:rPr>
              <w:t>★⑬</w:t>
            </w:r>
            <w:r>
              <w:rPr>
                <w:rFonts w:ascii="仿宋_GB2312" w:hAnsi="仿宋_GB2312" w:cs="仿宋_GB2312" w:eastAsia="仿宋_GB2312"/>
                <w:sz w:val="20"/>
                <w:b/>
                <w:color w:val="000000"/>
              </w:rPr>
              <w:t>所投产品须具备</w:t>
            </w:r>
            <w:r>
              <w:rPr>
                <w:rFonts w:ascii="仿宋_GB2312" w:hAnsi="仿宋_GB2312" w:cs="仿宋_GB2312" w:eastAsia="仿宋_GB2312"/>
                <w:sz w:val="20"/>
                <w:b/>
                <w:color w:val="000000"/>
              </w:rPr>
              <w:t>CCC认证证书和标注认证标志</w:t>
            </w:r>
            <w:r>
              <w:rPr>
                <w:rFonts w:ascii="仿宋_GB2312" w:hAnsi="仿宋_GB2312" w:cs="仿宋_GB2312" w:eastAsia="仿宋_GB2312"/>
                <w:sz w:val="20"/>
                <w:b/>
                <w:color w:val="000000"/>
              </w:rPr>
              <w:t>。</w:t>
            </w:r>
          </w:p>
          <w:p>
            <w:pPr>
              <w:pStyle w:val="null3"/>
            </w:pPr>
            <w:r>
              <w:rPr>
                <w:rFonts w:ascii="仿宋_GB2312" w:hAnsi="仿宋_GB2312" w:cs="仿宋_GB2312" w:eastAsia="仿宋_GB2312"/>
                <w:sz w:val="20"/>
                <w:color w:val="000000"/>
              </w:rPr>
              <w:t xml:space="preserve">   3.其他：本项采购内容不包含</w:t>
            </w:r>
            <w:r>
              <w:rPr>
                <w:rFonts w:ascii="仿宋_GB2312" w:hAnsi="仿宋_GB2312" w:cs="仿宋_GB2312" w:eastAsia="仿宋_GB2312"/>
                <w:sz w:val="20"/>
                <w:color w:val="000000"/>
              </w:rPr>
              <w:t>充电桩</w:t>
            </w:r>
            <w:r>
              <w:rPr>
                <w:rFonts w:ascii="仿宋_GB2312" w:hAnsi="仿宋_GB2312" w:cs="仿宋_GB2312" w:eastAsia="仿宋_GB2312"/>
                <w:sz w:val="20"/>
                <w:color w:val="000000"/>
              </w:rPr>
              <w:t>设备安装。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合同签订后60日历天内完成供货、安装调试，交付采购人验收。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西安市碑林区城市管理和综合执法局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其他，合同签订，项目验收合格后，达到付款条件起10个工作日内，支付合同总金额的100.0%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车辆及其备附件到达西安市碑林区城市管理和综合执法局后，甲方根据合同要求，在乙方和甲方相关负责人双方同时在场的情况下，进行外观验收，确认产地、规格、型号和数量（必要时甲方可委托具有相关资质的第三方检测机构/技术专家对车辆进行验收，需要国家法定检验部门进行检验或验收的由乙方负责联系）。验收合格后，填写政府采购项目验收单（一式伍份）作为对车辆的最终认可。 （二）验收依据 1．招标文件、投标文件、澄清表（函）； 2．本合同及其附件； 3、产品合格证； 4、产品技术参数； 5、产品使用维护说明书（中文）； 6．国家相应的标准、规范。 （三）乙方向甲方提供实施过程中的所有资料，以便甲方日后管理和维护。 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涉及的产品包装和快递包装，应适应于远距离运输、防潮、防震、防锈和防野蛮装卸，以确保货物安全无损运抵西安市碑林区城市管理和综合执法局。</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整车质保2年，三电系统（电池、电机、电控）质保8年，自验收合格之日起计算。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1．乙方交付的货物不符合本合同规定的，甲方有权拒收，并要求乙方限期整改。 2．每延迟交付1天，扣除合同总价千分之1的违约金，延迟交付30日以上，甲方有权解除合同，并就造成的损失向乙方要求赔偿。 （二）其他违约责任由双方平等协商后补充。 （三）未按合同要求提供货物或货物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 （四）争议解决 本合同适用法律为中华人民共和国法律。 （二）凡与本合同有关的一切争议，双方应通过友好协商解决。如协商后仍不能达成协议时，按下列第___种方式解决。 1．提交西安仲裁委员会。 2．依法向甲方所在地有管辖权的人民法院提起诉讼。 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投标人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2、根据《国务院办公厅关于在政府采购中实施本国产品标准及相关政策的通知》国办发〔2025〕34号的规定，依法对本国产品给予价格评审优惠，对本国产品的报价给予20%的价格扣除，用扣除后的价格参与评审。 3、根据《政府采购质疑和投诉办法》（财政部令第94号）第三十七条：“投诉人在全国范围12个月内3次以上投诉查无实据的，由财政部门列入不良行为记录名单。投诉人有下列行为之一的，属于虚假、恶意投诉，由财政部门列入不良行为记录名单，禁止其1至3年内参加政府采购活动：（一）捏造事实。（二）提供虚假材料。（三）以非法手段取得证明材料。证据来源的合法性存在明显疑问，投诉人无法证明其取得方式合法的，视为以非法手段取得证明材料”。 4、投标人提供以下方案及材料：①供货组织方案（整体供货统筹规划、物流配送服务保障、供货周期与交付计划、问题车辆退换方案）；②质量保证措施（质量保证范围，使用寿命及效果，质量保障措施及承诺，备品配件供应保证措施）；③售后服务方案（售后服务范围，时间安排，售后服务人员的配备，售后服务承诺）；④培训方案（培训内容，培训方式，培训时间，应急保障培训内容）；⑤拟投入本项目团队人员配置及责任制度（本项目的人员配置、人员责任制度、职责划分）；⑥产品技术参数；⑦业绩。以上内容将作为详细评审的依据。 5、招标文件中所列国家标准、行业标准等相关标准，在投标截止之日前或供货前，如有更新，以最新标准执行。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提供2025年度经审计的完整财务审计报告或投标截止日期前三个月内其基本存款账户开户银行出具的资信证明。（如提供资信证明，须同时提供基本存款账户开户许可证或基本账户信息表）。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提供有效合格的具有统一社会信用代码的营业执照，其他组织经营的需提供合法凭证，自然人提供身份证明文件。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具有健全的财务会计制度</w:t>
            </w:r>
          </w:p>
        </w:tc>
        <w:tc>
          <w:tcPr>
            <w:tcW w:type="dxa" w:w="3322"/>
          </w:tcPr>
          <w:p>
            <w:pPr>
              <w:pStyle w:val="null3"/>
            </w:pPr>
            <w:r>
              <w:rPr>
                <w:rFonts w:ascii="仿宋_GB2312" w:hAnsi="仿宋_GB2312" w:cs="仿宋_GB2312" w:eastAsia="仿宋_GB2312"/>
              </w:rPr>
              <w:t>提供2025年度经审计的完整财务审计报告或投标截止日期前三个月内其基本存款账户开户银行出具的资信证明。（如提供资信证明，须同时提供基本存款账户开户许可证或基本账户信息表）。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依法缴纳税收的良好记录</w:t>
            </w:r>
          </w:p>
        </w:tc>
        <w:tc>
          <w:tcPr>
            <w:tcW w:type="dxa" w:w="3322"/>
          </w:tcPr>
          <w:p>
            <w:pPr>
              <w:pStyle w:val="null3"/>
            </w:pPr>
            <w:r>
              <w:rPr>
                <w:rFonts w:ascii="仿宋_GB2312" w:hAnsi="仿宋_GB2312" w:cs="仿宋_GB2312" w:eastAsia="仿宋_GB2312"/>
              </w:rPr>
              <w:t>提供投标截止日前一年内（不含开标当月）已缴纳的至少一个月的纳税证明（时间以税款所属日期为准)，依法免税的单位应提供相关证明材料。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依法缴纳社会保障资金的良好记录</w:t>
            </w:r>
          </w:p>
        </w:tc>
        <w:tc>
          <w:tcPr>
            <w:tcW w:type="dxa" w:w="3322"/>
          </w:tcPr>
          <w:p>
            <w:pPr>
              <w:pStyle w:val="null3"/>
            </w:pPr>
            <w:r>
              <w:rPr>
                <w:rFonts w:ascii="仿宋_GB2312" w:hAnsi="仿宋_GB2312" w:cs="仿宋_GB2312" w:eastAsia="仿宋_GB2312"/>
              </w:rPr>
              <w:t>提供投标截止日前一年内（不含开标当月）已缴存的至少一个月的社会保障资金缴存单据或社保机构开具的社会保险参保缴费情况证明，依法不需要缴纳社会保障资金的单位应提供相关证明材料。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投标人未被列入信用中国网站(www.creditchina.gov.cn)“失信被执行人、重大税收违法失信主体”；不处于中国政府采购网(www.ccgp.gov.cn)“政府采购严重违法失信行为信息记录”中的禁止参加政府采购活动期间。（以开标现场代理机构查询结果为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法定代表人参加投标时，提供法定代表人身份证明书；被授权人参加投标时，提供授权委托书及被授权人投标前（不含投标当月）三个月至少一个月在本单位缴纳的基本养老保险参保缴费证明。</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报价唯一，且没有高于采购预算和最高限价的</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投标内容满足招标文件的所有“★”要求，不得存在漏项或数量不符合招标文件规定情形。</w:t>
            </w:r>
          </w:p>
        </w:tc>
        <w:tc>
          <w:tcPr>
            <w:tcW w:type="dxa" w:w="1661"/>
          </w:tcPr>
          <w:p>
            <w:pPr>
              <w:pStyle w:val="null3"/>
            </w:pPr>
            <w:r>
              <w:rPr>
                <w:rFonts w:ascii="仿宋_GB2312" w:hAnsi="仿宋_GB2312" w:cs="仿宋_GB2312" w:eastAsia="仿宋_GB2312"/>
              </w:rPr>
              <w:t>技术响应表.docx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应符合招标文件的要求</w:t>
            </w:r>
          </w:p>
        </w:tc>
        <w:tc>
          <w:tcPr>
            <w:tcW w:type="dxa" w:w="1661"/>
          </w:tcPr>
          <w:p>
            <w:pPr>
              <w:pStyle w:val="null3"/>
            </w:pPr>
            <w:r>
              <w:rPr>
                <w:rFonts w:ascii="仿宋_GB2312" w:hAnsi="仿宋_GB2312" w:cs="仿宋_GB2312" w:eastAsia="仿宋_GB2312"/>
              </w:rPr>
              <w:t>标的清单 商务响应表.docx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应符合招标文件的要求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中小企业声明函 其他附件.docx 商务响应表.docx 分项报价表.docx 投标函 陕西省政府采购投标人拒绝政府采购领域商业贿赂承诺书.docx 残疾人福利性单位声明函 技术响应表.docx 标的清单 投标文件封面 资格证明材料.docx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供货组织方案</w:t>
            </w:r>
          </w:p>
        </w:tc>
        <w:tc>
          <w:tcPr>
            <w:tcW w:type="dxa" w:w="2492"/>
          </w:tcPr>
          <w:p>
            <w:pPr>
              <w:pStyle w:val="null3"/>
            </w:pPr>
            <w:r>
              <w:rPr>
                <w:rFonts w:ascii="仿宋_GB2312" w:hAnsi="仿宋_GB2312" w:cs="仿宋_GB2312" w:eastAsia="仿宋_GB2312"/>
              </w:rPr>
              <w:t>评审标准细化内容： ①整体供货统筹规划； ②物流配送服务保障； ③供货周期与交付计划； ④问题车辆退换方案。 评审标准量化内容： 供货组织方案内容齐全，对评审内容中的各部分要求均有详细、清晰的阐述、符合本项目招标文件要求及项目实际需求得4分，每缺一项内容扣1分，评审内容有瑕疵的，每存在一处瑕疵扣0.2分，扣完为止。 评审内容“瑕疵”是指：内容粗略、逻辑混乱、与项目特点不匹配、出现常识性错误、存在不适用项目实际情况的情形。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评审标准细化内容： ①质量保证范围； ②使用寿命及效果； ③质量保障措施及承诺； ④ 备品配件供应保证措施。 评审标准量化内容： 质量保证措施各部分内容齐全，对评审内容中的各部分要求均有详细、清晰的阐述、符合本项目招标内容及实际需求得4分，每缺一项内容扣1分，评审内容有瑕疵的，每存在一处瑕疵扣0.2分，扣完为止。 评审内容“瑕疵”是指：内容粗略、逻辑混乱、与项目特点不匹配、出现常识性错误、存在不适用项目实际情况的情形。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评审标准量化内容： ①售后服务范围（故障排除、维修保养和售后服务流程）； ②时间安排（出现故障响应时间、出现故障响应措施、定期回访维护时间）； ③售后服务人员的配备（包含但不限于售后人员信息、数量、联系电话）； ④售后服务承诺。 评审标准量化内容： 售后服务方案各部分内容齐全，对评审内容中的各部分要求均有详细、清晰的阐述、符合本项目招标内容及实际需求得4分，每缺一项内容扣1分，评审内容有瑕疵的，每存在一处瑕疵扣0.2分，扣完为止。 评审内容“瑕疵”是指：内容粗略、逻辑混乱、与项目特点不匹配、出现常识性错误、存在不适用项目实际情况的情形。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评审标准细化内容： ①培训内容； ②培训方式； ③培训时间； ④应急保障培训内容。 评审标准量化内容： 培训方案各部分内容齐全，对评审内容中的各部分要求均有详细、清晰的阐述、符合本项目招标内容及实际需求得4分，每缺一项内容扣1分，评审内容有瑕疵的，每存在一处瑕疵扣0.2分，扣完为止。 评审内容“瑕疵”是指：内容粗略、逻辑混乱、与项目特点不匹配、出现常识性错误、存在不适用项目实际情况的情形。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拟投入本项目团队人员配置及责任制度</w:t>
            </w:r>
          </w:p>
        </w:tc>
        <w:tc>
          <w:tcPr>
            <w:tcW w:type="dxa" w:w="2492"/>
          </w:tcPr>
          <w:p>
            <w:pPr>
              <w:pStyle w:val="null3"/>
            </w:pPr>
            <w:r>
              <w:rPr>
                <w:rFonts w:ascii="仿宋_GB2312" w:hAnsi="仿宋_GB2312" w:cs="仿宋_GB2312" w:eastAsia="仿宋_GB2312"/>
              </w:rPr>
              <w:t>评审标准细化内容： ①本项目的人员配置； ②人员责任制度、职责划分。 评审标准量化内容： 人员配置方案各部分内容齐全，对评审内容中的各部分要求均有详细、清晰的阐述、符合本项目招标内容及实际需求得4分，每缺一项内容扣2分，评审内容有瑕疵的，每存在一处瑕疵扣0.2分，扣完为止。 评审内容“瑕疵”是指：内容粗略、逻辑混乱、与项目特点不匹配、出现常识性错误、存在不适用项目实际情况的情形。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所供产品技术指标明确，完全满足要求得42分。 技术参数及车辆性能要求中（3.3技术要求二、产品要求中技术参数）标“▲”项（共5项）每有1 项负偏离扣6分，最多扣30分； 技术参数及车辆性能要求中其他参数（除标记“▲、★”项）共30项，每有1项负偏离扣0.4分，扣完为止。 评审依据：提供所投产品的所有技术指标的证明材料（证明材料包括但不限于检测报告或技术白皮书或相关信息在“工业和信息化部装备工业发展中心网站公布的道路机动车辆生产企业及产品信息综合查询系统（https://service.miit-eidc.org.cn/miitxxgk/gonggao/xxgk/index?querylb=qy）的产品公告参数”可查询）。</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投标人提供所投核心产品的合法来源渠道证明文件或情况说明，得3分，未提供不得分。 投标人可根据自身情况提供以下资料中的任意一种: 1、如投标人为所投产品代理商：提供货物的合法来源渠道证明文件(例如：产品制造商授权或销售协议或代理协议等证明文件)。 2、如投标人为所投产品的制造商：需提供情况说明(说明产品为制造商自己生产)。备注：以加盖投标人公章的证明材料复印件为计分依据。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提供近三年（2023年08月01日至投标截止时间前，以合同签订时间为准）本次所投核心产品销售业绩，每提供一个业绩证明得1分，满分5分。 评审依据：须同时提供加盖公章的业绩合同复印件及项目履行期内对应任意金额发票一张，未提供或提供内容不相符不得分。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最后投标报价为有效投标报价，满足招标文件要求且投标价格最低的投标报价为评标基准价,其价格分为满分。价格分按照下列公式计算。投标报价得分=（评标基准价/投标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其他附件.docx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详见附件：技术响应表.docx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ind w:firstLine="960"/>
      </w:pPr>
      <w:r>
        <w:rPr>
          <w:rFonts w:ascii="仿宋_GB2312" w:hAnsi="仿宋_GB2312" w:cs="仿宋_GB2312" w:eastAsia="仿宋_GB2312"/>
        </w:rPr>
        <w:t>详见附件：其他附件.docx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