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39CF3">
      <w:pPr>
        <w:snapToGrid w:val="0"/>
        <w:spacing w:line="360" w:lineRule="auto"/>
        <w:ind w:firstLine="562" w:firstLineChars="200"/>
        <w:rPr>
          <w:rFonts w:hint="eastAsia" w:eastAsia="仿宋_GB2312"/>
          <w:b/>
          <w:bCs/>
          <w:sz w:val="28"/>
          <w:szCs w:val="28"/>
          <w:lang w:eastAsia="zh-CN"/>
        </w:rPr>
      </w:pPr>
      <w:r>
        <w:rPr>
          <w:rFonts w:hint="eastAsia" w:eastAsia="仿宋_GB2312"/>
          <w:b/>
          <w:bCs/>
          <w:sz w:val="28"/>
          <w:szCs w:val="28"/>
          <w:lang w:val="en-US" w:eastAsia="zh-CN"/>
        </w:rPr>
        <w:t>采购</w:t>
      </w:r>
      <w:bookmarkStart w:id="0" w:name="_GoBack"/>
      <w:bookmarkEnd w:id="0"/>
      <w:r>
        <w:rPr>
          <w:rFonts w:hint="eastAsia" w:eastAsia="仿宋_GB2312"/>
          <w:b/>
          <w:bCs/>
          <w:sz w:val="28"/>
          <w:szCs w:val="28"/>
          <w:lang w:val="en-US" w:eastAsia="zh-CN"/>
        </w:rPr>
        <w:t>内容</w:t>
      </w:r>
    </w:p>
    <w:p w14:paraId="44BB1A70">
      <w:pPr>
        <w:snapToGrid w:val="0"/>
        <w:spacing w:line="360" w:lineRule="auto"/>
        <w:ind w:firstLine="560" w:firstLineChars="200"/>
        <w:rPr>
          <w:rFonts w:hint="eastAsia" w:eastAsia="仿宋_GB2312"/>
          <w:b w:val="0"/>
          <w:bCs w:val="0"/>
          <w:sz w:val="28"/>
          <w:szCs w:val="28"/>
        </w:rPr>
      </w:pPr>
      <w:r>
        <w:rPr>
          <w:rFonts w:hint="eastAsia" w:eastAsia="仿宋_GB2312"/>
          <w:b w:val="0"/>
          <w:bCs w:val="0"/>
          <w:sz w:val="28"/>
          <w:szCs w:val="28"/>
        </w:rPr>
        <w:t>1.全面排查：组织专业人员对全校所有教室护眼灯进行逐一排查，登记灯具老化程度、故障情况、使用年限，筛选出可继续使用的老旧灯具。</w:t>
      </w:r>
    </w:p>
    <w:p w14:paraId="60354814">
      <w:pPr>
        <w:snapToGrid w:val="0"/>
        <w:spacing w:line="360" w:lineRule="auto"/>
        <w:ind w:firstLine="560" w:firstLineChars="200"/>
        <w:rPr>
          <w:rFonts w:hint="eastAsia" w:eastAsia="仿宋_GB2312"/>
          <w:b w:val="0"/>
          <w:bCs w:val="0"/>
          <w:sz w:val="28"/>
          <w:szCs w:val="28"/>
        </w:rPr>
      </w:pPr>
      <w:r>
        <w:rPr>
          <w:rFonts w:hint="eastAsia" w:eastAsia="仿宋_GB2312"/>
          <w:b w:val="0"/>
          <w:bCs w:val="0"/>
          <w:sz w:val="28"/>
          <w:szCs w:val="28"/>
        </w:rPr>
        <w:t>2.检修调试：对可复用老旧灯具进行统一检修、更换配件、亮度调试，消除灯具故障，提升照明效果。</w:t>
      </w:r>
    </w:p>
    <w:p w14:paraId="6B57C37C">
      <w:pPr>
        <w:snapToGrid w:val="0"/>
        <w:spacing w:line="360" w:lineRule="auto"/>
        <w:ind w:firstLine="560" w:firstLineChars="200"/>
        <w:rPr>
          <w:rFonts w:hint="eastAsia" w:eastAsia="仿宋_GB2312"/>
          <w:b w:val="0"/>
          <w:bCs w:val="0"/>
          <w:sz w:val="28"/>
          <w:szCs w:val="28"/>
        </w:rPr>
      </w:pPr>
      <w:r>
        <w:rPr>
          <w:rFonts w:hint="eastAsia" w:eastAsia="仿宋_GB2312"/>
          <w:b w:val="0"/>
          <w:bCs w:val="0"/>
          <w:sz w:val="28"/>
          <w:szCs w:val="28"/>
        </w:rPr>
        <w:t>3.统筹调配：将检修合格的老旧护眼灯，统一安装至非核心教学、日常使用频次相对较低的教室，满足基础教学照明需求，避免资源浪费。</w:t>
      </w:r>
    </w:p>
    <w:p w14:paraId="2CE603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47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jc w:val="left"/>
    </w:pPr>
    <w:rPr>
      <w:rFonts w:ascii="Copperplate Gothic Bold" w:hAnsi="Copperplate Gothic Bold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2026-10-22T09:06:47Z</dcterms:created>
  <dc:creator>Lenovo</dc:creator>
  <cp:lastModifiedBy>。。</cp:lastModifiedBy>
  <dcterms:modified xsi:type="dcterms:W3CDTF">2026-10-22T09:07:16Z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eyJoZGlkIjoiOTJmM2Y3YjgzNWU3ZDc3NGZmYWVkNzQyNTc3YTk1YjQiLCJ1c2VySWQiOiIzNzAzNTU5MDQifQ==</vt:lpwstr>
  </property>
  <property fmtid="{D5CDD505-2E9C-101B-9397-08002B2CF9AE}" pid="4" name="ICV">
    <vt:lpwstr>1ABC69CACDFE4A2C8C11581BA395E7F9_12</vt:lpwstr>
  </property>
</Properties>
</file>