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192A3">
      <w:pPr>
        <w:pStyle w:val="7"/>
        <w:jc w:val="center"/>
        <w:outlineLvl w:val="1"/>
        <w:rPr>
          <w:rFonts w:hint="eastAsia" w:ascii="仿宋" w:hAnsi="仿宋" w:eastAsia="仿宋" w:cs="仿宋"/>
          <w:color w:val="auto"/>
        </w:rPr>
      </w:pPr>
      <w:r>
        <w:rPr>
          <w:rFonts w:hint="eastAsia" w:ascii="仿宋" w:hAnsi="仿宋" w:eastAsia="仿宋" w:cs="仿宋"/>
          <w:b/>
          <w:color w:val="auto"/>
          <w:sz w:val="36"/>
        </w:rPr>
        <w:t>拟签订合同文本</w:t>
      </w:r>
    </w:p>
    <w:p w14:paraId="3717B092">
      <w:pPr>
        <w:spacing w:before="374" w:after="374" w:line="440" w:lineRule="exact"/>
        <w:jc w:val="center"/>
        <w:rPr>
          <w:rFonts w:hint="eastAsia" w:ascii="仿宋" w:hAnsi="仿宋" w:eastAsia="仿宋" w:cstheme="minorBidi"/>
          <w:color w:val="auto"/>
          <w:sz w:val="36"/>
          <w:szCs w:val="36"/>
          <w:lang w:val="en-US" w:eastAsia="zh-CN"/>
        </w:rPr>
      </w:pPr>
      <w:r>
        <w:rPr>
          <w:rFonts w:hint="eastAsia" w:ascii="仿宋" w:hAnsi="仿宋" w:eastAsia="仿宋" w:cstheme="minorBidi"/>
          <w:color w:val="auto"/>
          <w:sz w:val="36"/>
          <w:szCs w:val="36"/>
          <w:lang w:val="en-US" w:eastAsia="zh-CN"/>
        </w:rPr>
        <w:t>供货合同</w:t>
      </w:r>
    </w:p>
    <w:p w14:paraId="36E50866">
      <w:pPr>
        <w:keepNext w:val="0"/>
        <w:keepLines w:val="0"/>
        <w:pageBreakBefore w:val="0"/>
        <w:widowControl w:val="0"/>
        <w:kinsoku/>
        <w:wordWrap w:val="0"/>
        <w:overflowPunct/>
        <w:topLinePunct w:val="0"/>
        <w:bidi w:val="0"/>
        <w:snapToGrid w:val="0"/>
        <w:spacing w:line="339" w:lineRule="auto"/>
        <w:ind w:left="0" w:leftChars="0" w:firstLine="480" w:firstLineChars="200"/>
        <w:jc w:val="left"/>
        <w:textAlignment w:val="auto"/>
        <w:rPr>
          <w:rFonts w:hint="eastAsia" w:ascii="仿宋" w:hAnsi="仿宋" w:eastAsia="仿宋" w:cs="仿宋"/>
          <w:snapToGrid w:val="0"/>
          <w:color w:val="auto"/>
          <w:kern w:val="0"/>
          <w:sz w:val="24"/>
          <w:szCs w:val="24"/>
        </w:rPr>
      </w:pPr>
      <w:r>
        <w:rPr>
          <w:rFonts w:hint="eastAsia" w:ascii="仿宋" w:hAnsi="仿宋" w:eastAsia="仿宋" w:cs="仿宋"/>
          <w:snapToGrid w:val="0"/>
          <w:color w:val="auto"/>
          <w:kern w:val="0"/>
          <w:sz w:val="24"/>
          <w:szCs w:val="24"/>
          <w:u w:val="none"/>
          <w:lang w:eastAsia="zh-CN"/>
        </w:rPr>
        <w:t>“</w:t>
      </w:r>
      <w:r>
        <w:rPr>
          <w:rFonts w:hint="eastAsia" w:ascii="仿宋" w:hAnsi="仿宋" w:eastAsia="仿宋" w:cs="仿宋"/>
          <w:snapToGrid w:val="0"/>
          <w:color w:val="auto"/>
          <w:kern w:val="0"/>
          <w:sz w:val="24"/>
          <w:szCs w:val="24"/>
          <w:u w:val="none"/>
          <w:lang w:val="en-US" w:eastAsia="zh-CN"/>
        </w:rPr>
        <w:t>项目名称</w:t>
      </w:r>
      <w:r>
        <w:rPr>
          <w:rFonts w:hint="eastAsia" w:ascii="仿宋" w:hAnsi="仿宋" w:eastAsia="仿宋" w:cs="仿宋"/>
          <w:snapToGrid w:val="0"/>
          <w:color w:val="auto"/>
          <w:kern w:val="0"/>
          <w:sz w:val="24"/>
          <w:szCs w:val="24"/>
          <w:u w:val="none"/>
          <w:lang w:eastAsia="zh-CN"/>
        </w:rPr>
        <w:t>”</w:t>
      </w:r>
      <w:r>
        <w:rPr>
          <w:rFonts w:hint="eastAsia" w:ascii="仿宋" w:hAnsi="仿宋" w:eastAsia="仿宋" w:cs="仿宋"/>
          <w:snapToGrid w:val="0"/>
          <w:color w:val="auto"/>
          <w:kern w:val="0"/>
          <w:sz w:val="24"/>
          <w:szCs w:val="24"/>
          <w:u w:val="single"/>
        </w:rPr>
        <w:t>（项目编号：</w:t>
      </w:r>
      <w:r>
        <w:rPr>
          <w:rFonts w:hint="eastAsia" w:ascii="仿宋" w:hAnsi="仿宋" w:eastAsia="仿宋" w:cs="仿宋"/>
          <w:snapToGrid w:val="0"/>
          <w:color w:val="auto"/>
          <w:kern w:val="0"/>
          <w:sz w:val="24"/>
          <w:szCs w:val="24"/>
          <w:u w:val="single"/>
          <w:lang w:val="en-US" w:eastAsia="zh-CN"/>
        </w:rPr>
        <w:t xml:space="preserve">  </w:t>
      </w:r>
      <w:r>
        <w:rPr>
          <w:rFonts w:hint="eastAsia" w:ascii="仿宋" w:hAnsi="仿宋" w:eastAsia="仿宋" w:cs="仿宋"/>
          <w:snapToGrid w:val="0"/>
          <w:color w:val="auto"/>
          <w:kern w:val="0"/>
          <w:sz w:val="24"/>
          <w:szCs w:val="24"/>
          <w:u w:val="single"/>
        </w:rPr>
        <w:t xml:space="preserve"> ）</w:t>
      </w:r>
      <w:r>
        <w:rPr>
          <w:rFonts w:hint="eastAsia" w:ascii="仿宋" w:hAnsi="仿宋" w:eastAsia="仿宋" w:cs="宋体"/>
          <w:color w:val="auto"/>
          <w:kern w:val="0"/>
          <w:sz w:val="24"/>
        </w:rPr>
        <w:t>在</w:t>
      </w:r>
      <w:r>
        <w:rPr>
          <w:rFonts w:hint="eastAsia" w:ascii="仿宋" w:hAnsi="仿宋" w:eastAsia="仿宋" w:cs="宋体"/>
          <w:color w:val="auto"/>
          <w:kern w:val="0"/>
          <w:sz w:val="24"/>
          <w:lang w:val="en-US" w:eastAsia="zh-CN"/>
        </w:rPr>
        <w:t>陕西省财政厅</w:t>
      </w:r>
      <w:r>
        <w:rPr>
          <w:rFonts w:hint="eastAsia" w:ascii="仿宋" w:hAnsi="仿宋" w:eastAsia="仿宋" w:cs="宋体"/>
          <w:color w:val="auto"/>
          <w:kern w:val="0"/>
          <w:sz w:val="24"/>
        </w:rPr>
        <w:t>的监督管理下，由陕西教育招标有限责任公司组织采购,</w:t>
      </w:r>
      <w:r>
        <w:rPr>
          <w:rFonts w:hint="eastAsia" w:ascii="仿宋" w:hAnsi="仿宋" w:eastAsia="仿宋" w:cs="宋体"/>
          <w:b/>
          <w:bCs/>
          <w:color w:val="auto"/>
          <w:kern w:val="0"/>
          <w:sz w:val="24"/>
          <w:u w:val="single"/>
        </w:rPr>
        <w:t xml:space="preserve"> </w:t>
      </w:r>
      <w:r>
        <w:rPr>
          <w:rFonts w:hint="eastAsia" w:ascii="仿宋" w:hAnsi="仿宋" w:eastAsia="仿宋" w:cs="宋体"/>
          <w:b/>
          <w:bCs/>
          <w:color w:val="auto"/>
          <w:kern w:val="0"/>
          <w:sz w:val="24"/>
          <w:u w:val="single"/>
          <w:lang w:val="en-US" w:eastAsia="zh-CN"/>
        </w:rPr>
        <w:t>西安航空职业技术学院</w:t>
      </w:r>
      <w:r>
        <w:rPr>
          <w:rFonts w:hint="eastAsia" w:ascii="仿宋" w:hAnsi="仿宋" w:eastAsia="仿宋" w:cs="宋体"/>
          <w:b/>
          <w:bCs/>
          <w:color w:val="auto"/>
          <w:kern w:val="0"/>
          <w:sz w:val="24"/>
          <w:u w:val="single"/>
        </w:rPr>
        <w:t xml:space="preserve"> </w:t>
      </w:r>
      <w:r>
        <w:rPr>
          <w:rFonts w:hint="eastAsia" w:ascii="仿宋" w:hAnsi="仿宋" w:eastAsia="仿宋" w:cs="宋体"/>
          <w:color w:val="auto"/>
          <w:kern w:val="0"/>
          <w:sz w:val="24"/>
        </w:rPr>
        <w:t>（以下简称“甲方”）确定</w:t>
      </w:r>
      <w:r>
        <w:rPr>
          <w:rFonts w:hint="eastAsia" w:ascii="仿宋" w:hAnsi="仿宋" w:eastAsia="仿宋" w:cs="宋体"/>
          <w:color w:val="auto"/>
          <w:kern w:val="0"/>
          <w:sz w:val="24"/>
          <w:u w:val="single"/>
        </w:rPr>
        <w:t xml:space="preserve">   （</w:t>
      </w:r>
      <w:r>
        <w:rPr>
          <w:rFonts w:hint="eastAsia" w:ascii="仿宋" w:hAnsi="仿宋" w:eastAsia="仿宋" w:cs="宋体"/>
          <w:color w:val="auto"/>
          <w:kern w:val="0"/>
          <w:sz w:val="24"/>
          <w:u w:val="single"/>
          <w:lang w:val="en-US" w:eastAsia="zh-CN"/>
        </w:rPr>
        <w:t>中标</w:t>
      </w:r>
      <w:r>
        <w:rPr>
          <w:rFonts w:hint="eastAsia" w:ascii="仿宋" w:hAnsi="仿宋" w:eastAsia="仿宋" w:cs="宋体"/>
          <w:color w:val="auto"/>
          <w:kern w:val="0"/>
          <w:sz w:val="24"/>
          <w:u w:val="single"/>
        </w:rPr>
        <w:t xml:space="preserve">单位名称）   </w:t>
      </w:r>
      <w:r>
        <w:rPr>
          <w:rFonts w:hint="eastAsia" w:ascii="仿宋" w:hAnsi="仿宋" w:eastAsia="仿宋" w:cs="宋体"/>
          <w:color w:val="auto"/>
          <w:kern w:val="0"/>
          <w:sz w:val="24"/>
        </w:rPr>
        <w:t>（以下简称“乙方”）为本项目</w:t>
      </w:r>
      <w:r>
        <w:rPr>
          <w:rFonts w:hint="eastAsia" w:ascii="仿宋" w:hAnsi="仿宋" w:eastAsia="仿宋" w:cs="宋体"/>
          <w:color w:val="auto"/>
          <w:kern w:val="0"/>
          <w:sz w:val="24"/>
          <w:lang w:val="en-US" w:eastAsia="zh-CN"/>
        </w:rPr>
        <w:t>中标</w:t>
      </w:r>
      <w:r>
        <w:rPr>
          <w:rFonts w:hint="eastAsia" w:ascii="仿宋" w:hAnsi="仿宋" w:eastAsia="仿宋" w:cs="宋体"/>
          <w:color w:val="auto"/>
          <w:kern w:val="0"/>
          <w:sz w:val="24"/>
        </w:rPr>
        <w:t>单位。</w:t>
      </w:r>
    </w:p>
    <w:p w14:paraId="1E4868A7">
      <w:pPr>
        <w:spacing w:line="338" w:lineRule="auto"/>
        <w:ind w:firstLine="480" w:firstLineChars="200"/>
        <w:rPr>
          <w:rFonts w:hint="eastAsia" w:ascii="仿宋" w:hAnsi="仿宋" w:eastAsia="仿宋" w:cs="宋体"/>
          <w:color w:val="auto"/>
          <w:kern w:val="0"/>
          <w:sz w:val="24"/>
        </w:rPr>
      </w:pPr>
      <w:r>
        <w:rPr>
          <w:rFonts w:hint="eastAsia" w:ascii="仿宋" w:hAnsi="仿宋" w:eastAsia="仿宋" w:cs="宋体"/>
          <w:color w:val="auto"/>
          <w:kern w:val="0"/>
          <w:sz w:val="24"/>
        </w:rPr>
        <w:t>依据《中华人民共和国民法典》和《中华人民共和国政府采购法》，经双方协商，按下述条款和条件签署本合同。</w:t>
      </w:r>
    </w:p>
    <w:p w14:paraId="789C015C">
      <w:pPr>
        <w:spacing w:line="338" w:lineRule="auto"/>
        <w:ind w:firstLine="480" w:firstLineChars="200"/>
        <w:rPr>
          <w:rFonts w:hint="eastAsia" w:ascii="仿宋" w:hAnsi="仿宋" w:eastAsia="仿宋" w:cs="宋体"/>
          <w:color w:val="auto"/>
          <w:kern w:val="0"/>
          <w:sz w:val="24"/>
        </w:rPr>
      </w:pPr>
      <w:r>
        <w:rPr>
          <w:rFonts w:hint="eastAsia" w:ascii="仿宋" w:hAnsi="仿宋" w:eastAsia="仿宋" w:cs="宋体"/>
          <w:color w:val="auto"/>
          <w:kern w:val="0"/>
          <w:sz w:val="24"/>
        </w:rPr>
        <w:t>甲方通过</w:t>
      </w:r>
      <w:r>
        <w:rPr>
          <w:rFonts w:hint="eastAsia" w:ascii="仿宋" w:hAnsi="仿宋" w:eastAsia="仿宋" w:cs="宋体"/>
          <w:b/>
          <w:bCs/>
          <w:color w:val="auto"/>
          <w:kern w:val="0"/>
          <w:sz w:val="24"/>
          <w:u w:val="single"/>
          <w:lang w:val="en-US" w:eastAsia="zh-CN"/>
        </w:rPr>
        <w:t>公开招标</w:t>
      </w:r>
      <w:r>
        <w:rPr>
          <w:rFonts w:hint="eastAsia" w:ascii="仿宋" w:hAnsi="仿宋" w:eastAsia="仿宋" w:cs="宋体"/>
          <w:color w:val="auto"/>
          <w:kern w:val="0"/>
          <w:sz w:val="24"/>
        </w:rPr>
        <w:t>采购，接受了乙方以</w:t>
      </w:r>
      <w:r>
        <w:rPr>
          <w:rFonts w:hint="eastAsia" w:ascii="仿宋" w:hAnsi="仿宋" w:eastAsia="仿宋" w:cs="宋体"/>
          <w:color w:val="auto"/>
          <w:kern w:val="0"/>
          <w:sz w:val="24"/>
          <w:lang w:val="en-US" w:eastAsia="zh-CN"/>
        </w:rPr>
        <w:t>综合折扣</w:t>
      </w:r>
      <w:r>
        <w:rPr>
          <w:rFonts w:hint="eastAsia" w:ascii="仿宋" w:hAnsi="仿宋" w:eastAsia="仿宋" w:cs="仿宋"/>
          <w:b w:val="0"/>
          <w:bCs w:val="0"/>
          <w:color w:val="auto"/>
          <w:kern w:val="0"/>
          <w:sz w:val="24"/>
          <w:szCs w:val="24"/>
          <w:u w:val="single"/>
        </w:rPr>
        <w:t xml:space="preserve"> </w:t>
      </w:r>
      <w:r>
        <w:rPr>
          <w:rFonts w:hint="eastAsia" w:ascii="仿宋" w:hAnsi="仿宋" w:eastAsia="仿宋" w:cs="仿宋"/>
          <w:b w:val="0"/>
          <w:bCs w:val="0"/>
          <w:color w:val="auto"/>
          <w:kern w:val="0"/>
          <w:sz w:val="24"/>
          <w:szCs w:val="24"/>
          <w:u w:val="single"/>
          <w:lang w:val="en-US" w:eastAsia="zh-CN"/>
        </w:rPr>
        <w:t xml:space="preserve">    </w:t>
      </w:r>
      <w:r>
        <w:rPr>
          <w:rFonts w:hint="eastAsia" w:ascii="仿宋" w:hAnsi="仿宋" w:eastAsia="仿宋" w:cs="仿宋"/>
          <w:b w:val="0"/>
          <w:bCs w:val="0"/>
          <w:color w:val="auto"/>
          <w:kern w:val="0"/>
          <w:sz w:val="24"/>
          <w:szCs w:val="24"/>
          <w:u w:val="single"/>
        </w:rPr>
        <w:t xml:space="preserve"> % （大写：   ）</w:t>
      </w:r>
      <w:r>
        <w:rPr>
          <w:rFonts w:hint="eastAsia" w:ascii="仿宋" w:hAnsi="仿宋" w:eastAsia="仿宋" w:cs="宋体"/>
          <w:color w:val="auto"/>
          <w:kern w:val="0"/>
          <w:sz w:val="24"/>
        </w:rPr>
        <w:t>(以下简称“合同价”)提供的</w:t>
      </w:r>
      <w:r>
        <w:rPr>
          <w:rFonts w:hint="eastAsia" w:ascii="仿宋" w:hAnsi="仿宋" w:eastAsia="仿宋" w:cs="宋体"/>
          <w:color w:val="auto"/>
          <w:kern w:val="0"/>
          <w:sz w:val="24"/>
          <w:lang w:val="en-US" w:eastAsia="zh-CN"/>
        </w:rPr>
        <w:t>产品及服务</w:t>
      </w:r>
      <w:r>
        <w:rPr>
          <w:rFonts w:hint="eastAsia" w:ascii="仿宋" w:hAnsi="仿宋" w:eastAsia="仿宋" w:cs="宋体"/>
          <w:color w:val="auto"/>
          <w:kern w:val="0"/>
          <w:sz w:val="24"/>
        </w:rPr>
        <w:t>。</w:t>
      </w:r>
    </w:p>
    <w:p w14:paraId="7D100A91">
      <w:pPr>
        <w:keepNext w:val="0"/>
        <w:keepLines w:val="0"/>
        <w:pageBreakBefore w:val="0"/>
        <w:widowControl w:val="0"/>
        <w:kinsoku/>
        <w:overflowPunct/>
        <w:topLinePunct w:val="0"/>
        <w:autoSpaceDN w:val="0"/>
        <w:bidi w:val="0"/>
        <w:adjustRightInd w:val="0"/>
        <w:snapToGrid w:val="0"/>
        <w:spacing w:line="339"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本合同在此声明如下：</w:t>
      </w:r>
    </w:p>
    <w:p w14:paraId="56CA1F9C">
      <w:pPr>
        <w:keepNext w:val="0"/>
        <w:keepLines w:val="0"/>
        <w:pageBreakBefore w:val="0"/>
        <w:widowControl w:val="0"/>
        <w:kinsoku/>
        <w:wordWrap/>
        <w:overflowPunct/>
        <w:topLinePunct w:val="0"/>
        <w:autoSpaceDE/>
        <w:bidi w:val="0"/>
        <w:spacing w:line="339" w:lineRule="auto"/>
        <w:ind w:left="0" w:right="0" w:firstLine="482"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b/>
          <w:bCs/>
          <w:color w:val="auto"/>
          <w:spacing w:val="0"/>
          <w:sz w:val="24"/>
          <w:szCs w:val="24"/>
        </w:rPr>
        <w:t>一、合同标的及要求</w:t>
      </w:r>
    </w:p>
    <w:p w14:paraId="1D3FC718">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(一)图书部分：</w:t>
      </w:r>
    </w:p>
    <w:p w14:paraId="52CB8AF5">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必须能独立完成下列项目：(1)通过三目(指社科新书目、科技新书目和上海新书目)征订供应图书；(2)通过乙方自编的书目或提供的样书方式，现场选购图书；(3)特别要求乙方须有较强的收集地方版图书的能力；(4)乙方必须满足甲方荐购订单要求并保证到货率。</w:t>
      </w:r>
    </w:p>
    <w:p w14:paraId="151C8321">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要求可以实现数据的上传和下载，供甲方作采访订购的依据。</w:t>
      </w:r>
    </w:p>
    <w:p w14:paraId="2F8097E6">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需向甲方提供MARC格式社科新书目、科技新书目、沪版图书新书目、及地方版科技新书目的采访数据。不少于三次甲方采访人员参加全国大型书展，并具有现场选书的条件和能力。</w:t>
      </w:r>
    </w:p>
    <w:p w14:paraId="508A739C">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必须根据要求定期免费送货上门。每月向甲方提供新书样书服务。</w:t>
      </w:r>
    </w:p>
    <w:p w14:paraId="69BCB345">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服务质量要求：</w:t>
      </w:r>
    </w:p>
    <w:p w14:paraId="07CCC0D1">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(1)图书质量：所供图书必须是国家正式出版社出版的图书，任何盗版图书、印刷或装祯质量不符合要求，污损、缺页、倒装等的图书均在被限制之列。如有上述图书，必须无条件调换。</w:t>
      </w:r>
    </w:p>
    <w:p w14:paraId="7F266391">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(2)到书率：到书率须达95%以上。</w:t>
      </w:r>
    </w:p>
    <w:p w14:paraId="11A16D3A">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(3)乙方必须提供标准CNMARC数据，以国家图书馆的数据为准。</w:t>
      </w:r>
    </w:p>
    <w:p w14:paraId="359D4745">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(4)质保期：1年。</w:t>
      </w:r>
    </w:p>
    <w:p w14:paraId="3DCA3DA1">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(5)交货日期：图书名称及数量以甲方出具的书面订购单为准，乙方收到甲方订单后30日内完成图书交付，交付后15日完成图书其他附加细节服务，包括但不限于图书录入等。</w:t>
      </w:r>
    </w:p>
    <w:p w14:paraId="147809D9">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6.细节服务：</w:t>
      </w:r>
    </w:p>
    <w:p w14:paraId="74789D50">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免费提供采访数据和标准、规范、完备的编目数据，如乙方提供的MARC数据达不到甲方要求，则须向甲方支付制作数据费用。免费提供采访，编目，贴书标，以及图书上架服务。免费提供图书MARC编目数据操作、维护技术等培训内容(培训内容、地点、时间由甲方指定)。</w:t>
      </w:r>
    </w:p>
    <w:p w14:paraId="3C6C7B9E">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(2)所供图书必须免费夹装16cm不干胶钴基复合磁条(300页以内夹装1根，300～500页夹装2根，500页以上夹装3根);</w:t>
      </w:r>
    </w:p>
    <w:p w14:paraId="6BADCE0B">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(3)由于其他原因造成图书污损、撕毁、丢失等，能够积极协助图书馆配齐等。</w:t>
      </w:r>
    </w:p>
    <w:p w14:paraId="5A492DE3">
      <w:pPr>
        <w:keepNext w:val="0"/>
        <w:keepLines w:val="0"/>
        <w:pageBreakBefore w:val="0"/>
        <w:widowControl w:val="0"/>
        <w:kinsoku/>
        <w:wordWrap/>
        <w:overflowPunct/>
        <w:topLinePunct w:val="0"/>
        <w:autoSpaceDE/>
        <w:bidi w:val="0"/>
        <w:spacing w:line="339" w:lineRule="auto"/>
        <w:ind w:left="0" w:right="0" w:firstLine="482" w:firstLineChars="200"/>
        <w:textAlignment w:val="auto"/>
        <w:outlineLvl w:val="9"/>
        <w:rPr>
          <w:rFonts w:hint="eastAsia" w:ascii="仿宋" w:hAnsi="仿宋" w:eastAsia="仿宋" w:cs="仿宋"/>
          <w:b/>
          <w:bCs/>
          <w:color w:val="auto"/>
          <w:spacing w:val="0"/>
          <w:sz w:val="24"/>
          <w:szCs w:val="24"/>
        </w:rPr>
      </w:pPr>
      <w:r>
        <w:rPr>
          <w:rFonts w:hint="eastAsia" w:ascii="仿宋" w:hAnsi="仿宋" w:eastAsia="仿宋" w:cs="仿宋"/>
          <w:b/>
          <w:bCs/>
          <w:color w:val="auto"/>
          <w:spacing w:val="0"/>
          <w:sz w:val="24"/>
          <w:szCs w:val="24"/>
        </w:rPr>
        <w:t>二、合同价款及支付方式</w:t>
      </w:r>
    </w:p>
    <w:p w14:paraId="5126466F">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乙方向甲方提供各类图书供应价格综合折扣为</w:t>
      </w:r>
      <w:r>
        <w:rPr>
          <w:rFonts w:hint="eastAsia" w:ascii="仿宋" w:hAnsi="仿宋" w:eastAsia="仿宋" w:cs="仿宋"/>
          <w:color w:val="auto"/>
          <w:spacing w:val="0"/>
          <w:sz w:val="24"/>
          <w:szCs w:val="24"/>
          <w:u w:val="single" w:color="auto"/>
        </w:rPr>
        <w:t>：</w:t>
      </w:r>
      <w:r>
        <w:rPr>
          <w:rFonts w:hint="eastAsia" w:ascii="仿宋" w:hAnsi="仿宋" w:eastAsia="仿宋" w:cs="仿宋"/>
          <w:color w:val="auto"/>
          <w:spacing w:val="0"/>
          <w:sz w:val="24"/>
          <w:szCs w:val="24"/>
          <w:u w:val="single" w:color="auto"/>
          <w:lang w:val="en-US" w:eastAsia="zh-CN"/>
        </w:rPr>
        <w:t xml:space="preserve">    </w:t>
      </w:r>
      <w:r>
        <w:rPr>
          <w:rFonts w:hint="eastAsia" w:ascii="仿宋" w:hAnsi="仿宋" w:eastAsia="仿宋" w:cs="仿宋"/>
          <w:color w:val="auto"/>
          <w:spacing w:val="0"/>
          <w:sz w:val="24"/>
          <w:szCs w:val="24"/>
          <w:u w:val="single" w:color="auto"/>
        </w:rPr>
        <w:t xml:space="preserve"> </w:t>
      </w:r>
      <w:r>
        <w:rPr>
          <w:rFonts w:hint="eastAsia" w:ascii="仿宋" w:hAnsi="仿宋" w:eastAsia="仿宋" w:cs="仿宋"/>
          <w:color w:val="auto"/>
          <w:spacing w:val="0"/>
          <w:sz w:val="24"/>
          <w:szCs w:val="24"/>
        </w:rPr>
        <w:t>%,结算金额为码洋打折后甲方实际支付订购图书的金额，即：结算金额=码洋×综合折扣。</w:t>
      </w:r>
    </w:p>
    <w:p w14:paraId="675F1A7D">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自</w:t>
      </w:r>
      <w:r>
        <w:rPr>
          <w:rFonts w:hint="eastAsia" w:ascii="仿宋" w:hAnsi="仿宋" w:eastAsia="仿宋" w:cs="仿宋"/>
          <w:color w:val="auto"/>
          <w:spacing w:val="0"/>
          <w:sz w:val="24"/>
          <w:szCs w:val="24"/>
          <w:lang w:val="en-US" w:eastAsia="zh-CN"/>
        </w:rPr>
        <w:t>合同签订后</w:t>
      </w:r>
      <w:r>
        <w:rPr>
          <w:rFonts w:hint="eastAsia" w:ascii="仿宋" w:hAnsi="仿宋" w:eastAsia="仿宋" w:cs="仿宋"/>
          <w:color w:val="auto"/>
          <w:spacing w:val="0"/>
          <w:sz w:val="24"/>
          <w:szCs w:val="24"/>
        </w:rPr>
        <w:t>至202</w:t>
      </w:r>
      <w:r>
        <w:rPr>
          <w:rFonts w:hint="eastAsia" w:ascii="仿宋" w:hAnsi="仿宋" w:eastAsia="仿宋" w:cs="仿宋"/>
          <w:color w:val="auto"/>
          <w:spacing w:val="0"/>
          <w:sz w:val="24"/>
          <w:szCs w:val="24"/>
          <w:lang w:val="en-US" w:eastAsia="zh-CN"/>
        </w:rPr>
        <w:t>6</w:t>
      </w:r>
      <w:r>
        <w:rPr>
          <w:rFonts w:hint="eastAsia" w:ascii="仿宋" w:hAnsi="仿宋" w:eastAsia="仿宋" w:cs="仿宋"/>
          <w:color w:val="auto"/>
          <w:spacing w:val="0"/>
          <w:sz w:val="24"/>
          <w:szCs w:val="24"/>
        </w:rPr>
        <w:t>年</w:t>
      </w:r>
      <w:r>
        <w:rPr>
          <w:rFonts w:hint="eastAsia" w:ascii="仿宋" w:hAnsi="仿宋" w:eastAsia="仿宋" w:cs="仿宋"/>
          <w:color w:val="auto"/>
          <w:spacing w:val="0"/>
          <w:sz w:val="24"/>
          <w:szCs w:val="24"/>
          <w:lang w:val="en-US" w:eastAsia="zh-CN"/>
        </w:rPr>
        <w:t>11</w:t>
      </w:r>
      <w:r>
        <w:rPr>
          <w:rFonts w:hint="eastAsia" w:ascii="仿宋" w:hAnsi="仿宋" w:eastAsia="仿宋" w:cs="仿宋"/>
          <w:color w:val="auto"/>
          <w:spacing w:val="0"/>
          <w:sz w:val="24"/>
          <w:szCs w:val="24"/>
        </w:rPr>
        <w:t>月</w:t>
      </w:r>
      <w:r>
        <w:rPr>
          <w:rFonts w:hint="eastAsia" w:ascii="仿宋" w:hAnsi="仿宋" w:eastAsia="仿宋" w:cs="仿宋"/>
          <w:color w:val="auto"/>
          <w:spacing w:val="0"/>
          <w:sz w:val="24"/>
          <w:szCs w:val="24"/>
          <w:lang w:val="en-US" w:eastAsia="zh-CN"/>
        </w:rPr>
        <w:t>15</w:t>
      </w:r>
      <w:r>
        <w:rPr>
          <w:rFonts w:hint="eastAsia" w:ascii="仿宋" w:hAnsi="仿宋" w:eastAsia="仿宋" w:cs="仿宋"/>
          <w:color w:val="auto"/>
          <w:spacing w:val="0"/>
          <w:sz w:val="24"/>
          <w:szCs w:val="24"/>
        </w:rPr>
        <w:t>日止，年供货的图书价格实洋不高于人民币</w:t>
      </w:r>
      <w:r>
        <w:rPr>
          <w:rFonts w:hint="eastAsia" w:ascii="仿宋" w:hAnsi="仿宋" w:eastAsia="仿宋" w:cs="仿宋"/>
          <w:color w:val="auto"/>
          <w:spacing w:val="0"/>
          <w:sz w:val="24"/>
          <w:szCs w:val="24"/>
          <w:u w:val="single" w:color="auto"/>
        </w:rPr>
        <w:t xml:space="preserve"> </w:t>
      </w:r>
      <w:r>
        <w:rPr>
          <w:rFonts w:hint="eastAsia" w:ascii="仿宋" w:hAnsi="仿宋" w:eastAsia="仿宋" w:cs="仿宋"/>
          <w:color w:val="auto"/>
          <w:spacing w:val="0"/>
          <w:sz w:val="24"/>
          <w:szCs w:val="24"/>
          <w:u w:val="single" w:color="auto"/>
          <w:lang w:val="en-US" w:eastAsia="zh-CN"/>
        </w:rPr>
        <w:t xml:space="preserve">    </w:t>
      </w:r>
      <w:r>
        <w:rPr>
          <w:rFonts w:hint="eastAsia" w:ascii="仿宋" w:hAnsi="仿宋" w:eastAsia="仿宋" w:cs="仿宋"/>
          <w:color w:val="auto"/>
          <w:spacing w:val="0"/>
          <w:sz w:val="24"/>
          <w:szCs w:val="24"/>
        </w:rPr>
        <w:t xml:space="preserve"> 万元(各包预算金额)。</w:t>
      </w:r>
    </w:p>
    <w:p w14:paraId="15DEB22D">
      <w:pPr>
        <w:keepNext w:val="0"/>
        <w:keepLines w:val="0"/>
        <w:pageBreakBefore w:val="0"/>
        <w:widowControl w:val="0"/>
        <w:kinsoku/>
        <w:wordWrap/>
        <w:overflowPunct/>
        <w:topLinePunct w:val="0"/>
        <w:autoSpaceDE/>
        <w:bidi w:val="0"/>
        <w:spacing w:line="339" w:lineRule="auto"/>
        <w:ind w:left="0" w:right="0" w:firstLine="480" w:firstLineChars="200"/>
        <w:jc w:val="both"/>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结算价格已包含履行合同及本项目用户需求书要求所有相关服务所需的服务费用、运输及其物流费用、及相关税费，甲方不再支付结算价格以外的其他任何费用，运输期间，货物发生毁损灭失的，由乙方自行承担全部损失。</w:t>
      </w:r>
    </w:p>
    <w:p w14:paraId="34618607">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订购图书经甲方验收合格后予以付款，付款金额以实际验收图书为准。乙方应履行其价格结算优惠承诺，提供合法正规的发票，并在发票上注明图书码洋、</w:t>
      </w:r>
      <w:r>
        <w:rPr>
          <w:rFonts w:hint="eastAsia" w:ascii="仿宋" w:hAnsi="仿宋" w:eastAsia="仿宋" w:cs="仿宋"/>
          <w:b/>
          <w:bCs/>
          <w:color w:val="auto"/>
          <w:spacing w:val="0"/>
          <w:sz w:val="24"/>
          <w:szCs w:val="24"/>
        </w:rPr>
        <w:t>折扣、</w:t>
      </w:r>
      <w:r>
        <w:rPr>
          <w:rFonts w:hint="eastAsia" w:ascii="仿宋" w:hAnsi="仿宋" w:eastAsia="仿宋" w:cs="仿宋"/>
          <w:color w:val="auto"/>
          <w:spacing w:val="0"/>
          <w:sz w:val="24"/>
          <w:szCs w:val="24"/>
        </w:rPr>
        <w:t>实洋等项内容。</w:t>
      </w:r>
    </w:p>
    <w:p w14:paraId="650EE19E">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订购图书经甲方验收合格后予以付款，付款金额以实际采购图书为准。支付约定：</w:t>
      </w:r>
    </w:p>
    <w:p w14:paraId="4C5172EA">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①项目整体交付并经甲方书面验收合格后，30日内支付至总书款的100%;</w:t>
      </w:r>
    </w:p>
    <w:p w14:paraId="63481C7D">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②付款前，乙方应向甲方提供等额正规增值税专用发票，附详细清单。</w:t>
      </w:r>
    </w:p>
    <w:p w14:paraId="26066CE3">
      <w:pPr>
        <w:keepNext w:val="0"/>
        <w:keepLines w:val="0"/>
        <w:pageBreakBefore w:val="0"/>
        <w:widowControl w:val="0"/>
        <w:kinsoku/>
        <w:wordWrap/>
        <w:overflowPunct/>
        <w:topLinePunct w:val="0"/>
        <w:autoSpaceDE/>
        <w:bidi w:val="0"/>
        <w:spacing w:line="339" w:lineRule="auto"/>
        <w:ind w:left="0" w:right="0" w:firstLine="482"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b/>
          <w:bCs/>
          <w:color w:val="auto"/>
          <w:spacing w:val="0"/>
          <w:sz w:val="24"/>
          <w:szCs w:val="24"/>
        </w:rPr>
        <w:t>三、甲乙双方责任</w:t>
      </w:r>
    </w:p>
    <w:p w14:paraId="101CFDB3">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(一)乙方责任</w:t>
      </w:r>
    </w:p>
    <w:p w14:paraId="0A6A98ED">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乙方向甲方提供的图书必须是正版图书，不得加入盗版图书及其它类型非法出版物。若出现有盗版或其它类型非法出版物，一经查实，甲方将拒付该书书款，终止合同，乙方要承担所有经济损失和法律责任。</w:t>
      </w:r>
    </w:p>
    <w:p w14:paraId="0F38E8B6">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乙方所供图书必须与甲方采购需求相符，不得更换或搭配未订购的图书。</w:t>
      </w:r>
    </w:p>
    <w:p w14:paraId="1E48ADF4">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在验收图书的过程中，如发现因出版信息、预定信息不完整及其他原因造成重订、错订等图书，能保证无条件退货。因包装或运输过程造成的图书质量问题或损失，由乙方负责。</w:t>
      </w:r>
    </w:p>
    <w:p w14:paraId="772FDB09">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对于出现缺页、倒装、模糊不清、折页、开线、开胶、污损等有质量问题的图书，乙方必须无条件及时退换。</w:t>
      </w:r>
    </w:p>
    <w:p w14:paraId="55039E93">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乙方应积极协助甲方解决在采购过程中遇见的其他问题。</w:t>
      </w:r>
    </w:p>
    <w:p w14:paraId="79AC1352">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(二)甲方责任</w:t>
      </w:r>
    </w:p>
    <w:p w14:paraId="33C60E4E">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未经乙方同意，甲方不得自行转让乙方提供的书目数据，不得用此书目数据从事商业活动，做有损乙方声誉和利益的事情。</w:t>
      </w:r>
    </w:p>
    <w:p w14:paraId="1181FC8B">
      <w:pPr>
        <w:keepNext w:val="0"/>
        <w:keepLines w:val="0"/>
        <w:pageBreakBefore w:val="0"/>
        <w:widowControl w:val="0"/>
        <w:kinsoku/>
        <w:wordWrap/>
        <w:overflowPunct/>
        <w:topLinePunct w:val="0"/>
        <w:autoSpaceDE/>
        <w:bidi w:val="0"/>
        <w:spacing w:line="339" w:lineRule="auto"/>
        <w:ind w:left="0" w:right="0" w:firstLine="482"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b/>
          <w:bCs/>
          <w:color w:val="auto"/>
          <w:spacing w:val="0"/>
          <w:sz w:val="24"/>
          <w:szCs w:val="24"/>
        </w:rPr>
        <w:t>四、违约责任</w:t>
      </w:r>
    </w:p>
    <w:p w14:paraId="4759CADB">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乙方交付时间或其他附加服务每逾期一日，应当按照合同总预算价款的2%承担违约责任，甲方有权优先于合同总价款中予以扣除，逾期超过30天，甲方有权拒收或解除合同，并要求乙方按照该批次订购图书总价款的20%承担违约责任</w:t>
      </w:r>
    </w:p>
    <w:p w14:paraId="16251021">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按合同要求提供产品或产品质量不能满足招标技术要求，乙方必须无条件更换产品，提高技术，完善质量，否则，甲方会同相关部门、采购代理机构有权终止合同并对乙方违约行为进行  追究，同时按政府采购投标人管理办法进行相应的处罚。</w:t>
      </w:r>
    </w:p>
    <w:p w14:paraId="0F6AB6DF">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若发现乙方提供盗版图书，乙方除按图书定价的10倍给予甲方经济补偿外，甲方有权立即终止供货合同，并保留追究乙方责任的权利；</w:t>
      </w:r>
    </w:p>
    <w:p w14:paraId="6A0418AE">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合作中的任何一方若违约，应遵照国家《中华人民共和国民法典》的相关法律条款，由违约方承担相应的经济、法律责任。</w:t>
      </w:r>
    </w:p>
    <w:p w14:paraId="4FB56BDC">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5</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任何一方因不可抗力原因不能履行协议时，应尽快通知对方，双方均设法补偿。如仍无法履约协议，可协商延缓或撤销协议，双方责任免除。</w:t>
      </w:r>
    </w:p>
    <w:p w14:paraId="02092D97">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6</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未尽事宜双方本着友好协商的原则处理。</w:t>
      </w:r>
    </w:p>
    <w:p w14:paraId="424EA487">
      <w:pPr>
        <w:keepNext w:val="0"/>
        <w:keepLines w:val="0"/>
        <w:pageBreakBefore w:val="0"/>
        <w:widowControl w:val="0"/>
        <w:kinsoku/>
        <w:wordWrap/>
        <w:overflowPunct/>
        <w:topLinePunct w:val="0"/>
        <w:autoSpaceDE/>
        <w:bidi w:val="0"/>
        <w:spacing w:line="339" w:lineRule="auto"/>
        <w:ind w:left="0" w:right="0" w:firstLine="482"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b/>
          <w:bCs/>
          <w:color w:val="auto"/>
          <w:spacing w:val="0"/>
          <w:sz w:val="24"/>
          <w:szCs w:val="24"/>
        </w:rPr>
        <w:t>五、合同争议的解决</w:t>
      </w:r>
    </w:p>
    <w:p w14:paraId="135C40EC">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合同一经签订，不得随意变更、中止或终止。对确需变更、调整或者中止、终止合同的，应按规定履行相应的手续。</w:t>
      </w:r>
    </w:p>
    <w:p w14:paraId="7E0F5DE6">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凡与本合同有关而引起的一切争议，甲乙双方应首先通过友好协商解决，如经协商后仍不能达成协议时，任何一方可以向甲方所在地法院提出诉讼。</w:t>
      </w:r>
    </w:p>
    <w:p w14:paraId="7873E837">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在进行法院审理期间，除提交法院审理的事项外，合同其他部分仍应继续履行。</w:t>
      </w:r>
    </w:p>
    <w:p w14:paraId="53DD258B">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4</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本合同按照中华人民共和国的法律进行解释。</w:t>
      </w:r>
    </w:p>
    <w:p w14:paraId="0DE55B52">
      <w:pPr>
        <w:keepNext w:val="0"/>
        <w:keepLines w:val="0"/>
        <w:pageBreakBefore w:val="0"/>
        <w:widowControl w:val="0"/>
        <w:kinsoku/>
        <w:wordWrap/>
        <w:overflowPunct/>
        <w:topLinePunct w:val="0"/>
        <w:autoSpaceDE/>
        <w:bidi w:val="0"/>
        <w:spacing w:line="339" w:lineRule="auto"/>
        <w:ind w:left="0" w:right="0" w:firstLine="482"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b/>
          <w:bCs/>
          <w:color w:val="auto"/>
          <w:spacing w:val="0"/>
          <w:sz w:val="24"/>
          <w:szCs w:val="24"/>
        </w:rPr>
        <w:t>六、其它事项</w:t>
      </w:r>
    </w:p>
    <w:p w14:paraId="29218AC2">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1</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甲、乙双方做为合同执行的主体，有义务及时完全履行合同。</w:t>
      </w:r>
    </w:p>
    <w:p w14:paraId="1CCD9335">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2</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合同未尽事宜，由甲、乙双方协商并签订书面补充协议，补充协议为本合同不可分割的组 成部分，与本合同具有同等法律效力。</w:t>
      </w:r>
    </w:p>
    <w:p w14:paraId="736DF454">
      <w:pPr>
        <w:keepNext w:val="0"/>
        <w:keepLines w:val="0"/>
        <w:pageBreakBefore w:val="0"/>
        <w:widowControl w:val="0"/>
        <w:kinsoku/>
        <w:wordWrap/>
        <w:overflowPunct/>
        <w:topLinePunct w:val="0"/>
        <w:autoSpaceDE/>
        <w:bidi w:val="0"/>
        <w:spacing w:line="339" w:lineRule="auto"/>
        <w:ind w:left="0" w:right="0" w:firstLine="480" w:firstLineChars="200"/>
        <w:textAlignment w:val="auto"/>
        <w:outlineLvl w:val="9"/>
        <w:rPr>
          <w:rFonts w:hint="eastAsia" w:ascii="仿宋" w:hAnsi="仿宋" w:eastAsia="仿宋" w:cs="仿宋"/>
          <w:color w:val="auto"/>
          <w:spacing w:val="0"/>
          <w:sz w:val="24"/>
          <w:szCs w:val="24"/>
        </w:rPr>
      </w:pPr>
      <w:r>
        <w:rPr>
          <w:rFonts w:hint="eastAsia" w:ascii="仿宋" w:hAnsi="仿宋" w:eastAsia="仿宋" w:cs="仿宋"/>
          <w:color w:val="auto"/>
          <w:spacing w:val="0"/>
          <w:sz w:val="24"/>
          <w:szCs w:val="24"/>
        </w:rPr>
        <w:t>3</w:t>
      </w:r>
      <w:r>
        <w:rPr>
          <w:rFonts w:hint="eastAsia" w:ascii="仿宋" w:hAnsi="仿宋" w:eastAsia="仿宋" w:cs="仿宋"/>
          <w:color w:val="auto"/>
          <w:spacing w:val="0"/>
          <w:sz w:val="24"/>
          <w:szCs w:val="24"/>
          <w:lang w:val="en-US" w:eastAsia="zh-CN"/>
        </w:rPr>
        <w:t>.</w:t>
      </w:r>
      <w:r>
        <w:rPr>
          <w:rFonts w:hint="eastAsia" w:ascii="仿宋" w:hAnsi="仿宋" w:eastAsia="仿宋" w:cs="仿宋"/>
          <w:color w:val="auto"/>
          <w:spacing w:val="0"/>
          <w:sz w:val="24"/>
          <w:szCs w:val="24"/>
        </w:rPr>
        <w:t>招标文件、投标文件和本合同之所有附件均为合同的有效组成部分，与本合同具有同样法律效力。招标文件、投标文件和合同与附件之间内容应认为是互为补充和解释，但如有模棱两可或相互矛盾之处，以合同、招标文件、投标文件次序条款为准。</w:t>
      </w:r>
    </w:p>
    <w:p w14:paraId="767FC128">
      <w:pPr>
        <w:keepNext w:val="0"/>
        <w:keepLines w:val="0"/>
        <w:pageBreakBefore w:val="0"/>
        <w:widowControl w:val="0"/>
        <w:kinsoku/>
        <w:wordWrap/>
        <w:overflowPunct/>
        <w:topLinePunct w:val="0"/>
        <w:autoSpaceDE/>
        <w:autoSpaceDN w:val="0"/>
        <w:bidi w:val="0"/>
        <w:adjustRightInd w:val="0"/>
        <w:snapToGrid w:val="0"/>
        <w:spacing w:line="339" w:lineRule="auto"/>
        <w:ind w:left="0" w:leftChars="0" w:righ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rPr>
        <w:t>5.本合同一式</w:t>
      </w:r>
      <w:r>
        <w:rPr>
          <w:rFonts w:hint="eastAsia" w:ascii="仿宋" w:hAnsi="仿宋" w:eastAsia="仿宋" w:cs="仿宋"/>
          <w:b/>
          <w:bCs/>
          <w:color w:val="auto"/>
          <w:kern w:val="0"/>
          <w:sz w:val="24"/>
          <w:szCs w:val="24"/>
          <w:u w:val="single"/>
        </w:rPr>
        <w:t xml:space="preserve">     </w:t>
      </w:r>
      <w:r>
        <w:rPr>
          <w:rFonts w:hint="eastAsia" w:ascii="仿宋" w:hAnsi="仿宋" w:eastAsia="仿宋" w:cs="仿宋"/>
          <w:color w:val="auto"/>
          <w:kern w:val="0"/>
          <w:sz w:val="24"/>
          <w:szCs w:val="24"/>
        </w:rPr>
        <w:t>份，其中，甲方</w:t>
      </w:r>
      <w:r>
        <w:rPr>
          <w:rFonts w:hint="eastAsia" w:ascii="仿宋" w:hAnsi="仿宋" w:eastAsia="仿宋" w:cs="仿宋"/>
          <w:b/>
          <w:bCs/>
          <w:color w:val="auto"/>
          <w:kern w:val="0"/>
          <w:sz w:val="24"/>
          <w:szCs w:val="24"/>
          <w:u w:val="single"/>
        </w:rPr>
        <w:t xml:space="preserve">     </w:t>
      </w:r>
      <w:r>
        <w:rPr>
          <w:rFonts w:hint="eastAsia" w:ascii="仿宋" w:hAnsi="仿宋" w:eastAsia="仿宋" w:cs="仿宋"/>
          <w:color w:val="auto"/>
          <w:kern w:val="0"/>
          <w:sz w:val="24"/>
          <w:szCs w:val="24"/>
        </w:rPr>
        <w:t>份，乙方</w:t>
      </w:r>
      <w:r>
        <w:rPr>
          <w:rFonts w:hint="eastAsia" w:ascii="仿宋" w:hAnsi="仿宋" w:eastAsia="仿宋" w:cs="仿宋"/>
          <w:b/>
          <w:bCs/>
          <w:color w:val="auto"/>
          <w:kern w:val="0"/>
          <w:sz w:val="24"/>
          <w:szCs w:val="24"/>
          <w:u w:val="single"/>
        </w:rPr>
        <w:t xml:space="preserve">     </w:t>
      </w:r>
      <w:r>
        <w:rPr>
          <w:rFonts w:hint="eastAsia" w:ascii="仿宋" w:hAnsi="仿宋" w:eastAsia="仿宋" w:cs="仿宋"/>
          <w:color w:val="auto"/>
          <w:kern w:val="0"/>
          <w:sz w:val="24"/>
          <w:szCs w:val="24"/>
        </w:rPr>
        <w:t>份，鉴证方</w:t>
      </w:r>
      <w:r>
        <w:rPr>
          <w:rFonts w:hint="eastAsia" w:ascii="仿宋" w:hAnsi="仿宋" w:eastAsia="仿宋" w:cs="仿宋"/>
          <w:b/>
          <w:bCs/>
          <w:color w:val="auto"/>
          <w:kern w:val="0"/>
          <w:sz w:val="24"/>
          <w:szCs w:val="24"/>
          <w:u w:val="single"/>
        </w:rPr>
        <w:t xml:space="preserve"> </w:t>
      </w:r>
      <w:r>
        <w:rPr>
          <w:rFonts w:hint="eastAsia" w:ascii="仿宋" w:hAnsi="仿宋" w:eastAsia="仿宋" w:cs="仿宋"/>
          <w:b/>
          <w:bCs/>
          <w:color w:val="auto"/>
          <w:kern w:val="0"/>
          <w:sz w:val="24"/>
          <w:szCs w:val="24"/>
          <w:u w:val="single"/>
          <w:lang w:val="en-US" w:eastAsia="zh-CN"/>
        </w:rPr>
        <w:t>壹</w:t>
      </w:r>
      <w:r>
        <w:rPr>
          <w:rFonts w:hint="eastAsia" w:ascii="仿宋" w:hAnsi="仿宋" w:eastAsia="仿宋" w:cs="仿宋"/>
          <w:b/>
          <w:bCs/>
          <w:color w:val="auto"/>
          <w:kern w:val="0"/>
          <w:sz w:val="24"/>
          <w:szCs w:val="24"/>
          <w:u w:val="single"/>
        </w:rPr>
        <w:t xml:space="preserve"> </w:t>
      </w:r>
      <w:r>
        <w:rPr>
          <w:rFonts w:hint="eastAsia" w:ascii="仿宋" w:hAnsi="仿宋" w:eastAsia="仿宋" w:cs="仿宋"/>
          <w:color w:val="auto"/>
          <w:kern w:val="0"/>
          <w:sz w:val="24"/>
          <w:szCs w:val="24"/>
        </w:rPr>
        <w:t>份。</w:t>
      </w:r>
    </w:p>
    <w:p w14:paraId="1FE6BB43">
      <w:pPr>
        <w:keepNext w:val="0"/>
        <w:keepLines w:val="0"/>
        <w:pageBreakBefore w:val="0"/>
        <w:widowControl w:val="0"/>
        <w:kinsoku/>
        <w:overflowPunct/>
        <w:topLinePunct w:val="0"/>
        <w:autoSpaceDN w:val="0"/>
        <w:bidi w:val="0"/>
        <w:spacing w:line="339" w:lineRule="auto"/>
        <w:ind w:left="0" w:leftChars="0" w:firstLine="480" w:firstLineChars="200"/>
        <w:textAlignment w:val="auto"/>
        <w:rPr>
          <w:rFonts w:hint="eastAsia" w:ascii="仿宋" w:hAnsi="仿宋" w:eastAsia="仿宋" w:cs="仿宋"/>
          <w:color w:val="auto"/>
          <w:kern w:val="0"/>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5BB8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2" w:hRule="atLeast"/>
          <w:jc w:val="center"/>
        </w:trPr>
        <w:tc>
          <w:tcPr>
            <w:tcW w:w="43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45F8005A">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甲方名称：</w:t>
            </w:r>
          </w:p>
          <w:p w14:paraId="0080A45E">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p>
          <w:p w14:paraId="62DEB1C2">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r>
              <w:rPr>
                <w:rFonts w:hint="eastAsia" w:cs="Times New Roman"/>
                <w:color w:val="auto"/>
                <w:kern w:val="2"/>
                <w:sz w:val="21"/>
                <w:lang w:val="en-US" w:bidi="ar-SA"/>
              </w:rPr>
              <w:t>甲方联系人：</w:t>
            </w:r>
          </w:p>
          <w:p w14:paraId="6BE0DCFE">
            <w:pPr>
              <w:keepNext w:val="0"/>
              <w:keepLines w:val="0"/>
              <w:suppressLineNumbers w:val="0"/>
              <w:snapToGrid w:val="0"/>
              <w:spacing w:before="0" w:beforeAutospacing="0" w:after="0" w:afterAutospacing="0" w:line="440" w:lineRule="exact"/>
              <w:ind w:left="1050" w:right="0" w:hanging="1050" w:hangingChars="500"/>
              <w:rPr>
                <w:rFonts w:hint="default" w:ascii="仿宋" w:hAnsi="仿宋" w:eastAsia="仿宋" w:cs="Times New Roman"/>
                <w:color w:val="auto"/>
              </w:rPr>
            </w:pPr>
            <w:r>
              <w:rPr>
                <w:rFonts w:hint="eastAsia" w:ascii="仿宋" w:hAnsi="仿宋" w:eastAsia="仿宋" w:cs="Times New Roman"/>
                <w:color w:val="auto"/>
              </w:rPr>
              <w:t>甲方地址：</w:t>
            </w:r>
          </w:p>
          <w:p w14:paraId="0875051C">
            <w:pPr>
              <w:keepNext w:val="0"/>
              <w:keepLines w:val="0"/>
              <w:suppressLineNumbers w:val="0"/>
              <w:snapToGrid w:val="0"/>
              <w:spacing w:before="0" w:beforeAutospacing="0" w:after="0" w:afterAutospacing="0" w:line="440" w:lineRule="exact"/>
              <w:ind w:left="0" w:right="0"/>
              <w:rPr>
                <w:rFonts w:hint="default" w:ascii="仿宋" w:hAnsi="仿宋" w:eastAsia="仿宋" w:cs="宋体"/>
                <w:color w:val="auto"/>
              </w:rPr>
            </w:pPr>
            <w:r>
              <w:rPr>
                <w:rFonts w:hint="eastAsia" w:ascii="仿宋" w:hAnsi="仿宋" w:eastAsia="仿宋" w:cs="Times New Roman"/>
                <w:color w:val="auto"/>
              </w:rPr>
              <w:t>电话：</w:t>
            </w:r>
          </w:p>
          <w:p w14:paraId="65C539F1">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74CC83AF">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5E59D3FB">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开户名称：</w:t>
            </w:r>
          </w:p>
          <w:p w14:paraId="2C743FA3">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开户银行：</w:t>
            </w:r>
          </w:p>
          <w:p w14:paraId="0D456E87">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账号：</w:t>
            </w:r>
          </w:p>
          <w:p w14:paraId="299558DF">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206BEB66">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EB07B2E">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D86AE0B">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买方代表签字：</w:t>
            </w:r>
          </w:p>
          <w:p w14:paraId="5CE37D4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买方盖章：</w:t>
            </w:r>
          </w:p>
          <w:p w14:paraId="1FF89508">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c>
          <w:tcPr>
            <w:tcW w:w="3750" w:type="dxa"/>
            <w:tcBorders>
              <w:top w:val="single" w:color="000000" w:sz="8" w:space="0"/>
              <w:left w:val="nil"/>
              <w:bottom w:val="single" w:color="000000" w:sz="8" w:space="0"/>
              <w:right w:val="single" w:color="000000" w:sz="8" w:space="0"/>
            </w:tcBorders>
            <w:shd w:val="clear" w:color="auto" w:fill="FFFFFF"/>
            <w:vAlign w:val="top"/>
          </w:tcPr>
          <w:p w14:paraId="4BB5D430">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乙方名称：</w:t>
            </w:r>
          </w:p>
          <w:p w14:paraId="4A5CDAE0">
            <w:pPr>
              <w:pStyle w:val="8"/>
              <w:keepNext w:val="0"/>
              <w:keepLines w:val="0"/>
              <w:suppressLineNumbers w:val="0"/>
              <w:spacing w:before="0" w:beforeAutospacing="0" w:after="0" w:afterAutospacing="0" w:line="480" w:lineRule="exact"/>
              <w:ind w:left="0" w:right="0" w:firstLine="0" w:firstLineChars="0"/>
              <w:rPr>
                <w:rFonts w:hint="default" w:cs="Times New Roman"/>
                <w:color w:val="auto"/>
                <w:kern w:val="2"/>
                <w:sz w:val="21"/>
                <w:lang w:val="en-US" w:bidi="ar-SA"/>
              </w:rPr>
            </w:pPr>
          </w:p>
          <w:p w14:paraId="3AB58F26">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乙方联系人：</w:t>
            </w:r>
          </w:p>
          <w:p w14:paraId="1E236B32">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乙方地址：</w:t>
            </w:r>
          </w:p>
          <w:p w14:paraId="2AF621EB">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电话：</w:t>
            </w:r>
          </w:p>
          <w:p w14:paraId="5CE64813">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0947758">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3AA1247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开户银行：</w:t>
            </w:r>
          </w:p>
          <w:p w14:paraId="3CB7A81E">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帐号：</w:t>
            </w:r>
          </w:p>
          <w:p w14:paraId="666951F9">
            <w:pPr>
              <w:pStyle w:val="8"/>
              <w:keepNext w:val="0"/>
              <w:keepLines w:val="0"/>
              <w:suppressLineNumbers w:val="0"/>
              <w:spacing w:before="0" w:beforeAutospacing="0" w:after="0" w:afterAutospacing="0" w:line="480" w:lineRule="exact"/>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352CFFFD">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2E2EC55D">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7ACC41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11ECFB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卖方代表签字：</w:t>
            </w:r>
          </w:p>
          <w:p w14:paraId="52E1CBC2">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卖方盖章：</w:t>
            </w:r>
          </w:p>
          <w:p w14:paraId="47C1F1B6">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r>
    </w:tbl>
    <w:p w14:paraId="741E0261">
      <w:pPr>
        <w:keepNext w:val="0"/>
        <w:keepLines w:val="0"/>
        <w:pageBreakBefore w:val="0"/>
        <w:widowControl w:val="0"/>
        <w:kinsoku/>
        <w:wordWrap/>
        <w:overflowPunct/>
        <w:topLinePunct w:val="0"/>
        <w:autoSpaceDE/>
        <w:autoSpaceDN/>
        <w:bidi w:val="0"/>
        <w:adjustRightInd/>
        <w:snapToGrid/>
        <w:spacing w:before="313" w:beforeLines="100"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鉴证方名称</w:t>
      </w:r>
      <w:r>
        <w:rPr>
          <w:rFonts w:hint="eastAsia" w:ascii="仿宋" w:hAnsi="仿宋" w:eastAsia="仿宋" w:cs="仿宋"/>
          <w:color w:val="auto"/>
          <w:sz w:val="24"/>
          <w:szCs w:val="24"/>
        </w:rPr>
        <w:t>：陕西教育招标有限责任公司（鉴证方</w:t>
      </w:r>
      <w:r>
        <w:rPr>
          <w:rFonts w:hint="eastAsia" w:ascii="仿宋" w:hAnsi="仿宋" w:eastAsia="仿宋" w:cs="仿宋"/>
          <w:color w:val="auto"/>
          <w:spacing w:val="7"/>
          <w:kern w:val="0"/>
          <w:sz w:val="24"/>
          <w:szCs w:val="24"/>
        </w:rPr>
        <w:t>盖章</w:t>
      </w:r>
      <w:r>
        <w:rPr>
          <w:rFonts w:hint="eastAsia" w:ascii="仿宋" w:hAnsi="仿宋" w:eastAsia="仿宋" w:cs="仿宋"/>
          <w:color w:val="auto"/>
          <w:sz w:val="24"/>
          <w:szCs w:val="24"/>
        </w:rPr>
        <w:t>）</w:t>
      </w:r>
    </w:p>
    <w:p w14:paraId="54DFB5B6">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鉴证方地址</w:t>
      </w:r>
      <w:r>
        <w:rPr>
          <w:rFonts w:hint="eastAsia" w:ascii="仿宋" w:hAnsi="仿宋" w:eastAsia="仿宋" w:cs="仿宋"/>
          <w:color w:val="auto"/>
          <w:sz w:val="24"/>
          <w:szCs w:val="24"/>
        </w:rPr>
        <w:t xml:space="preserve">：西安市太白南路181号西部电子社区A座B区401  </w:t>
      </w:r>
    </w:p>
    <w:p w14:paraId="71A63023">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邮编</w:t>
      </w:r>
      <w:r>
        <w:rPr>
          <w:rFonts w:hint="eastAsia" w:ascii="仿宋" w:hAnsi="仿宋" w:eastAsia="仿宋" w:cs="仿宋"/>
          <w:color w:val="auto"/>
          <w:sz w:val="24"/>
          <w:szCs w:val="24"/>
        </w:rPr>
        <w:t>：710065</w:t>
      </w:r>
    </w:p>
    <w:p w14:paraId="66DB34C6">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电话</w:t>
      </w:r>
      <w:r>
        <w:rPr>
          <w:rFonts w:hint="eastAsia" w:ascii="仿宋" w:hAnsi="仿宋" w:eastAsia="仿宋" w:cs="仿宋"/>
          <w:color w:val="auto"/>
          <w:sz w:val="24"/>
          <w:szCs w:val="24"/>
        </w:rPr>
        <w:t>：029-88221929  88224928</w:t>
      </w:r>
    </w:p>
    <w:p w14:paraId="74C29E0C">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传真</w:t>
      </w:r>
      <w:r>
        <w:rPr>
          <w:rFonts w:hint="eastAsia" w:ascii="仿宋" w:hAnsi="仿宋" w:eastAsia="仿宋" w:cs="仿宋"/>
          <w:color w:val="auto"/>
          <w:sz w:val="24"/>
          <w:szCs w:val="24"/>
        </w:rPr>
        <w:t>：029-88222461</w:t>
      </w:r>
    </w:p>
    <w:p w14:paraId="368C4EA4">
      <w:pPr>
        <w:keepNext w:val="0"/>
        <w:keepLines w:val="0"/>
        <w:pageBreakBefore w:val="0"/>
        <w:widowControl w:val="0"/>
        <w:tabs>
          <w:tab w:val="left" w:pos="320"/>
          <w:tab w:val="left" w:pos="480"/>
          <w:tab w:val="left" w:pos="846"/>
        </w:tabs>
        <w:kinsoku/>
        <w:overflowPunct/>
        <w:topLinePunct w:val="0"/>
        <w:bidi w:val="0"/>
        <w:spacing w:line="339" w:lineRule="auto"/>
        <w:ind w:left="0" w:leftChars="0" w:firstLine="640"/>
        <w:textAlignment w:val="auto"/>
        <w:rPr>
          <w:rFonts w:hint="eastAsia" w:ascii="仿宋" w:hAnsi="仿宋" w:eastAsia="仿宋" w:cs="仿宋"/>
          <w:color w:val="auto"/>
          <w:sz w:val="24"/>
          <w:szCs w:val="24"/>
        </w:rPr>
      </w:pPr>
    </w:p>
    <w:p w14:paraId="63DFC41F">
      <w:pPr>
        <w:keepNext w:val="0"/>
        <w:keepLines w:val="0"/>
        <w:pageBreakBefore w:val="0"/>
        <w:widowControl w:val="0"/>
        <w:kinsoku/>
        <w:overflowPunct/>
        <w:topLinePunct w:val="0"/>
        <w:bidi w:val="0"/>
        <w:spacing w:line="339" w:lineRule="auto"/>
        <w:ind w:left="0" w:leftChars="0" w:firstLine="480"/>
        <w:textAlignment w:val="auto"/>
        <w:rPr>
          <w:rFonts w:hint="eastAsia" w:ascii="仿宋" w:hAnsi="仿宋" w:eastAsia="仿宋" w:cs="仿宋"/>
          <w:color w:val="auto"/>
          <w:sz w:val="24"/>
          <w:szCs w:val="24"/>
        </w:rPr>
      </w:pPr>
    </w:p>
    <w:p w14:paraId="313C6BA0">
      <w:pPr>
        <w:pStyle w:val="7"/>
        <w:rPr>
          <w:rFonts w:hint="eastAsia" w:ascii="仿宋" w:hAnsi="仿宋" w:eastAsia="仿宋" w:cs="仿宋"/>
          <w:color w:val="auto"/>
          <w:lang w:val="en-US" w:eastAsia="zh-Hans"/>
        </w:rPr>
      </w:pPr>
    </w:p>
    <w:p w14:paraId="489AAAEA">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17BA0">
    <w:pPr>
      <w:pStyle w:val="3"/>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63504A"/>
    <w:rsid w:val="44635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Lines="50" w:line="360" w:lineRule="auto"/>
    </w:pPr>
    <w:rPr>
      <w:rFonts w:ascii="宋体" w:hAnsi="宋体"/>
      <w:color w:val="000000"/>
      <w:sz w:val="24"/>
    </w:rPr>
  </w:style>
  <w:style w:type="table" w:styleId="5">
    <w:name w:val="Table Grid"/>
    <w:basedOn w:val="4"/>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2026-05-13T08:40:00Z</dcterms:created>
  <dc:creator>JYZB</dc:creator>
  <cp:lastModifiedBy>JYZB</cp:lastModifiedBy>
  <dcterms:modified xsi:type="dcterms:W3CDTF">2026-05-13T08:41:08Z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934EC22EDA72403D813F6E88D9A386A3_11</vt:lpwstr>
  </property>
  <property fmtid="{D5CDD505-2E9C-101B-9397-08002B2CF9AE}" pid="4" name="KSOTemplateDocerSaveRecord">
    <vt:lpwstr>eyJoZGlkIjoiOThkODZhNTM3ZWJhODEyOTE0MjFkYjRhNWQyMTgzNjYiLCJ1c2VySWQiOiIyNDIxOTA0MzAifQ==</vt:lpwstr>
  </property>
</Properties>
</file>