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版本号：ZHZR2026-ZB01420260714001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略阳县黑河镇黑河坝小学教学楼及宿办楼外墙面改造项目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ZHZR2026-ZB014</w:t>
      </w:r>
      <w:r>
        <w:br/>
      </w:r>
      <w:r>
        <w:br/>
      </w:r>
      <w:r>
        <w:br/>
      </w:r>
    </w:p>
    <w:p>
      <w:pPr>
        <w:pStyle w:val="null3"/>
        <w:jc w:val="center"/>
        <w:outlineLvl w:val="2"/>
      </w:pPr>
      <w:r>
        <w:rPr>
          <w:rFonts w:ascii="仿宋_GB2312" w:hAnsi="仿宋_GB2312" w:cs="仿宋_GB2312" w:eastAsia="仿宋_GB2312"/>
          <w:sz w:val="28"/>
          <w:b/>
        </w:rPr>
        <w:t>略阳县黑河镇中心小学</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略阳县黑河镇中心小学</w:t>
      </w:r>
      <w:r>
        <w:rPr>
          <w:rFonts w:ascii="仿宋_GB2312" w:hAnsi="仿宋_GB2312" w:cs="仿宋_GB2312" w:eastAsia="仿宋_GB2312"/>
        </w:rPr>
        <w:t>委托，拟对</w:t>
      </w:r>
      <w:r>
        <w:rPr>
          <w:rFonts w:ascii="仿宋_GB2312" w:hAnsi="仿宋_GB2312" w:cs="仿宋_GB2312" w:eastAsia="仿宋_GB2312"/>
        </w:rPr>
        <w:t>略阳县黑河镇黑河坝小学教学楼及宿办楼外墙面改造项目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ZHZR2026-ZB014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略阳县黑河镇黑河坝小学教学楼及宿办楼外墙面改造项目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铲除原教学楼、宿办楼外墙⾯粉刷层；除更换原有教室⻔⼀樘；新做教学楼、胶漆⾯；教学楼墙裙砖零星修补。新做真⽯漆外墙；拆宿办楼⾛道楼梯间乳。（具体详⻅采购清单及施⼯设计图）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供应商需提供法定代表人（或委托代理人）身份证明及授权委托书：供应商需提供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3、供应商资质要求：供应商具有建设行政主管部门核发的建筑工程施工总承包三级及以上资质，且具备合格有效的安全生产许可证；</w:t>
      </w:r>
    </w:p>
    <w:p>
      <w:pPr>
        <w:pStyle w:val="null3"/>
      </w:pPr>
      <w:r>
        <w:rPr>
          <w:rFonts w:ascii="仿宋_GB2312" w:hAnsi="仿宋_GB2312" w:cs="仿宋_GB2312" w:eastAsia="仿宋_GB2312"/>
        </w:rPr>
        <w:t>4、拟派项目负责人资质及专业要求：拟派项目经理具备建筑工程专业二级及以上注册建造师及安全生产考核合格证（建安 B 证），无在建工程承诺书；</w:t>
      </w:r>
    </w:p>
    <w:p>
      <w:pPr>
        <w:pStyle w:val="null3"/>
      </w:pPr>
      <w:r>
        <w:rPr>
          <w:rFonts w:ascii="仿宋_GB2312" w:hAnsi="仿宋_GB2312" w:cs="仿宋_GB2312" w:eastAsia="仿宋_GB2312"/>
        </w:rPr>
        <w:t>5、供应商须提供《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p>
      <w:pPr>
        <w:pStyle w:val="null3"/>
      </w:pPr>
      <w:r>
        <w:rPr>
          <w:rFonts w:ascii="仿宋_GB2312" w:hAnsi="仿宋_GB2312" w:cs="仿宋_GB2312" w:eastAsia="仿宋_GB2312"/>
        </w:rPr>
        <w:t>6、本项目不接受联合体：提供非联合体声明磋商承诺。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略阳县黑河镇中心小学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陕西省略阳县黑河镇五郎坪村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略阳县黑河镇中心小学经办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13892613705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陕西省西安市雁塔区陕西省西安市雁塔区长安中路38号小寨领秀城商业综合楼4幢11层03号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0916-2100320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采购包1：671,027.62元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开户名称：中泓泽润⼯程管理咨询有限公司陕西分公司</w:t>
            </w:r>
          </w:p>
          <w:p>
            <w:pPr>
              <w:pStyle w:val="null3"/>
            </w:pPr>
            <w:r>
              <w:rPr>
                <w:rFonts w:ascii="仿宋_GB2312" w:hAnsi="仿宋_GB2312" w:cs="仿宋_GB2312" w:eastAsia="仿宋_GB2312"/>
              </w:rPr>
              <w:t>开户银行：西安银⾏股份有限公司汉中分⾏</w:t>
            </w:r>
          </w:p>
          <w:p>
            <w:pPr>
              <w:pStyle w:val="null3"/>
            </w:pPr>
            <w:r>
              <w:rPr>
                <w:rFonts w:ascii="仿宋_GB2312" w:hAnsi="仿宋_GB2312" w:cs="仿宋_GB2312" w:eastAsia="仿宋_GB2312"/>
              </w:rPr>
              <w:t>银行账号：451011580000093184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代理服务费收费标准：代理费依据《国家计委关于印发&lt;招标代理服务收费管理暂⾏办法&gt;的通知》（计价格【2002】1980号）及（发改办价格）【2011】534号》计取。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略阳县黑河镇中心小学</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略阳县黑河镇中心小学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略阳县黑河镇中心小学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联系电话：09162100320</w:t>
      </w:r>
    </w:p>
    <w:p>
      <w:pPr>
        <w:pStyle w:val="null3"/>
      </w:pPr>
      <w:r>
        <w:rPr>
          <w:rFonts w:ascii="仿宋_GB2312" w:hAnsi="仿宋_GB2312" w:cs="仿宋_GB2312" w:eastAsia="仿宋_GB2312"/>
        </w:rPr>
        <w:t>地址：陕西省西安市雁塔区陕西省西安市雁塔区⻓安中路38号⼩寨领秀城商业综合楼4幢11层03号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671,027.62</w:t>
      </w:r>
    </w:p>
    <w:p>
      <w:pPr>
        <w:pStyle w:val="null3"/>
      </w:pPr>
      <w:r>
        <w:rPr>
          <w:rFonts w:ascii="仿宋_GB2312" w:hAnsi="仿宋_GB2312" w:cs="仿宋_GB2312" w:eastAsia="仿宋_GB2312"/>
        </w:rPr>
        <w:t>采购包最高限价（元）: 671,027.62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略阳县黑河镇黑河坝小学教学楼及宿办楼外墙面改造项目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671,027.62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标的名称：略阳县黑河镇黑河坝小学教学楼及宿办楼外墙面改造项目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after="120"/>
              <w:jc w:val="center"/>
            </w:pPr>
            <w:r>
              <w:rPr>
                <w:rFonts w:ascii="仿宋_GB2312" w:hAnsi="仿宋_GB2312" w:cs="仿宋_GB2312" w:eastAsia="仿宋_GB2312"/>
                <w:sz w:val="36"/>
                <w:b/>
              </w:rPr>
              <w:t>工程量清单编制说明</w:t>
            </w:r>
          </w:p>
          <w:p>
            <w:pPr>
              <w:pStyle w:val="null3"/>
              <w:ind w:firstLine="643"/>
              <w:jc w:val="both"/>
            </w:pPr>
            <w:r>
              <w:rPr>
                <w:rFonts w:ascii="仿宋_GB2312" w:hAnsi="仿宋_GB2312" w:cs="仿宋_GB2312" w:eastAsia="仿宋_GB2312"/>
                <w:sz w:val="32"/>
                <w:b/>
              </w:rPr>
              <w:t>一、工程概况</w:t>
            </w:r>
          </w:p>
          <w:p>
            <w:pPr>
              <w:pStyle w:val="null3"/>
              <w:ind w:firstLine="642"/>
              <w:jc w:val="both"/>
            </w:pPr>
            <w:r>
              <w:rPr>
                <w:rFonts w:ascii="仿宋_GB2312" w:hAnsi="仿宋_GB2312" w:cs="仿宋_GB2312" w:eastAsia="仿宋_GB2312"/>
                <w:sz w:val="28"/>
              </w:rPr>
              <w:t>黑河坝小学教学楼及宿办楼外墙面改造项目。</w:t>
            </w:r>
            <w:r>
              <w:rPr>
                <w:rFonts w:ascii="仿宋_GB2312" w:hAnsi="仿宋_GB2312" w:cs="仿宋_GB2312" w:eastAsia="仿宋_GB2312"/>
                <w:sz w:val="28"/>
              </w:rPr>
              <w:t>项目实施地点：</w:t>
            </w:r>
            <w:r>
              <w:rPr>
                <w:rFonts w:ascii="仿宋_GB2312" w:hAnsi="仿宋_GB2312" w:cs="仿宋_GB2312" w:eastAsia="仿宋_GB2312"/>
                <w:sz w:val="28"/>
              </w:rPr>
              <w:t>略阳县</w:t>
            </w:r>
            <w:r>
              <w:rPr>
                <w:rFonts w:ascii="仿宋_GB2312" w:hAnsi="仿宋_GB2312" w:cs="仿宋_GB2312" w:eastAsia="仿宋_GB2312"/>
                <w:sz w:val="28"/>
              </w:rPr>
              <w:t>黑河坝小学内</w:t>
            </w:r>
            <w:r>
              <w:rPr>
                <w:rFonts w:ascii="仿宋_GB2312" w:hAnsi="仿宋_GB2312" w:cs="仿宋_GB2312" w:eastAsia="仿宋_GB2312"/>
                <w:sz w:val="28"/>
              </w:rPr>
              <w:t>。</w:t>
            </w:r>
            <w:r>
              <w:rPr>
                <w:rFonts w:ascii="仿宋_GB2312" w:hAnsi="仿宋_GB2312" w:cs="仿宋_GB2312" w:eastAsia="仿宋_GB2312"/>
                <w:sz w:val="28"/>
              </w:rPr>
              <w:t>建设内</w:t>
            </w:r>
            <w:r>
              <w:rPr>
                <w:rFonts w:ascii="仿宋_GB2312" w:hAnsi="仿宋_GB2312" w:cs="仿宋_GB2312" w:eastAsia="仿宋_GB2312"/>
                <w:sz w:val="28"/>
              </w:rPr>
              <w:t>容为：铲除原综合楼、宿舍楼外墙粉刷层，新做真石漆外墙；拆除更换原有教室门一樘；综合楼、宿舍楼走道楼梯间铲除原墙面新做乳胶漆墙面；教学楼零星修补瓷砖墙裙。</w:t>
            </w:r>
          </w:p>
          <w:p>
            <w:pPr>
              <w:pStyle w:val="null3"/>
              <w:ind w:firstLine="642"/>
              <w:jc w:val="both"/>
            </w:pPr>
            <w:r>
              <w:rPr>
                <w:rFonts w:ascii="仿宋_GB2312" w:hAnsi="仿宋_GB2312" w:cs="仿宋_GB2312" w:eastAsia="仿宋_GB2312"/>
                <w:sz w:val="32"/>
                <w:b/>
              </w:rPr>
              <w:t>二、编制依据</w:t>
            </w:r>
          </w:p>
          <w:p>
            <w:pPr>
              <w:pStyle w:val="null3"/>
              <w:ind w:firstLine="560"/>
              <w:jc w:val="both"/>
            </w:pPr>
            <w:r>
              <w:rPr>
                <w:rFonts w:ascii="仿宋_GB2312" w:hAnsi="仿宋_GB2312" w:cs="仿宋_GB2312" w:eastAsia="仿宋_GB2312"/>
                <w:sz w:val="28"/>
              </w:rPr>
              <w:t>1、《陕西省住房和城乡建设厅关于印发 2025 陕西省建设工程费用规则等计价依据的通知》陕建管发〔2025〕10号文件；</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《陕西省建设工程费用规则》（</w:t>
            </w:r>
            <w:r>
              <w:rPr>
                <w:rFonts w:ascii="仿宋_GB2312" w:hAnsi="仿宋_GB2312" w:cs="仿宋_GB2312" w:eastAsia="仿宋_GB2312"/>
                <w:sz w:val="28"/>
              </w:rPr>
              <w:t>2025）、《建设工程工程量清单计价标准》（2025）、《房屋建筑与装修工程工程量计算标准》、《通用安装工程工程量计算标准》及其配套文件；</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2025）、《陕西省通用安装工程消耗量定额》（2025）、《陕西省建设工程施工机械台班费用定额》（2025）；</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2025）、《陕西省通用安装工程基价表》（2025）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《汉中建设工程造价信息》</w:t>
            </w:r>
            <w:r>
              <w:rPr>
                <w:rFonts w:ascii="仿宋_GB2312" w:hAnsi="仿宋_GB2312" w:cs="仿宋_GB2312" w:eastAsia="仿宋_GB2312"/>
                <w:sz w:val="28"/>
              </w:rPr>
              <w:t>20</w:t>
            </w:r>
            <w:r>
              <w:rPr>
                <w:rFonts w:ascii="仿宋_GB2312" w:hAnsi="仿宋_GB2312" w:cs="仿宋_GB2312" w:eastAsia="仿宋_GB2312"/>
                <w:sz w:val="28"/>
              </w:rPr>
              <w:t>26</w:t>
            </w:r>
            <w:r>
              <w:rPr>
                <w:rFonts w:ascii="仿宋_GB2312" w:hAnsi="仿宋_GB2312" w:cs="仿宋_GB2312" w:eastAsia="仿宋_GB2312"/>
                <w:sz w:val="28"/>
              </w:rPr>
              <w:t>年</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略阳</w:t>
            </w:r>
            <w:r>
              <w:rPr>
                <w:rFonts w:ascii="仿宋_GB2312" w:hAnsi="仿宋_GB2312" w:cs="仿宋_GB2312" w:eastAsia="仿宋_GB2312"/>
                <w:sz w:val="28"/>
              </w:rPr>
              <w:t>地区材料价格</w:t>
            </w:r>
            <w:r>
              <w:rPr>
                <w:rFonts w:ascii="仿宋_GB2312" w:hAnsi="仿宋_GB2312" w:cs="仿宋_GB2312" w:eastAsia="仿宋_GB2312"/>
                <w:sz w:val="28"/>
              </w:rPr>
              <w:t>及当地市场价；</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略阳县匠心建筑工程设计院</w:t>
            </w:r>
            <w:r>
              <w:rPr>
                <w:rFonts w:ascii="仿宋_GB2312" w:hAnsi="仿宋_GB2312" w:cs="仿宋_GB2312" w:eastAsia="仿宋_GB2312"/>
                <w:sz w:val="28"/>
              </w:rPr>
              <w:t>”设计的《</w:t>
            </w:r>
            <w:r>
              <w:rPr>
                <w:rFonts w:ascii="仿宋_GB2312" w:hAnsi="仿宋_GB2312" w:cs="仿宋_GB2312" w:eastAsia="仿宋_GB2312"/>
                <w:sz w:val="28"/>
              </w:rPr>
              <w:t>硖口驿镇中心幼儿园室内及屋面改造项目</w:t>
            </w:r>
            <w:r>
              <w:rPr>
                <w:rFonts w:ascii="仿宋_GB2312" w:hAnsi="仿宋_GB2312" w:cs="仿宋_GB2312" w:eastAsia="仿宋_GB2312"/>
                <w:sz w:val="28"/>
              </w:rPr>
              <w:t>》全部施工图纸及</w:t>
            </w:r>
            <w:r>
              <w:rPr>
                <w:rFonts w:ascii="仿宋_GB2312" w:hAnsi="仿宋_GB2312" w:cs="仿宋_GB2312" w:eastAsia="仿宋_GB2312"/>
                <w:sz w:val="28"/>
              </w:rPr>
              <w:t>计算说明</w:t>
            </w:r>
            <w:r>
              <w:rPr>
                <w:rFonts w:ascii="仿宋_GB2312" w:hAnsi="仿宋_GB2312" w:cs="仿宋_GB2312" w:eastAsia="仿宋_GB2312"/>
                <w:sz w:val="28"/>
              </w:rPr>
              <w:t>;</w:t>
            </w:r>
          </w:p>
          <w:p>
            <w:pPr>
              <w:pStyle w:val="null3"/>
              <w:ind w:firstLine="643"/>
              <w:jc w:val="both"/>
            </w:pPr>
            <w:r>
              <w:rPr>
                <w:rFonts w:ascii="仿宋_GB2312" w:hAnsi="仿宋_GB2312" w:cs="仿宋_GB2312" w:eastAsia="仿宋_GB2312"/>
                <w:sz w:val="32"/>
                <w:b/>
              </w:rPr>
              <w:t>三</w:t>
            </w:r>
            <w:r>
              <w:rPr>
                <w:rFonts w:ascii="仿宋_GB2312" w:hAnsi="仿宋_GB2312" w:cs="仿宋_GB2312" w:eastAsia="仿宋_GB2312"/>
                <w:sz w:val="32"/>
                <w:b/>
              </w:rPr>
              <w:t>、计价软件</w:t>
            </w:r>
          </w:p>
          <w:p>
            <w:pPr>
              <w:pStyle w:val="null3"/>
              <w:ind w:firstLine="560"/>
              <w:jc w:val="both"/>
            </w:pPr>
            <w:r>
              <w:rPr>
                <w:rFonts w:ascii="仿宋_GB2312" w:hAnsi="仿宋_GB2312" w:cs="仿宋_GB2312" w:eastAsia="仿宋_GB2312"/>
                <w:sz w:val="28"/>
              </w:rPr>
              <w:t>造价软件：广联达计价软件</w:t>
            </w:r>
            <w:r>
              <w:rPr>
                <w:rFonts w:ascii="仿宋_GB2312" w:hAnsi="仿宋_GB2312" w:cs="仿宋_GB2312" w:eastAsia="仿宋_GB2312"/>
                <w:sz w:val="28"/>
              </w:rPr>
              <w:t>GCCP</w:t>
            </w:r>
            <w:r>
              <w:rPr>
                <w:rFonts w:ascii="仿宋_GB2312" w:hAnsi="仿宋_GB2312" w:cs="仿宋_GB2312" w:eastAsia="仿宋_GB2312"/>
                <w:sz w:val="28"/>
              </w:rPr>
              <w:t>7</w:t>
            </w:r>
            <w:r>
              <w:rPr>
                <w:rFonts w:ascii="仿宋_GB2312" w:hAnsi="仿宋_GB2312" w:cs="仿宋_GB2312" w:eastAsia="仿宋_GB2312"/>
                <w:sz w:val="28"/>
              </w:rPr>
              <w:t>.0</w:t>
            </w:r>
          </w:p>
          <w:p>
            <w:pPr>
              <w:pStyle w:val="null3"/>
              <w:ind w:firstLine="643"/>
              <w:jc w:val="both"/>
            </w:pPr>
            <w:r>
              <w:rPr>
                <w:rFonts w:ascii="仿宋_GB2312" w:hAnsi="仿宋_GB2312" w:cs="仿宋_GB2312" w:eastAsia="仿宋_GB2312"/>
                <w:sz w:val="32"/>
                <w:b/>
              </w:rPr>
              <w:t>四</w:t>
            </w:r>
            <w:r>
              <w:rPr>
                <w:rFonts w:ascii="仿宋_GB2312" w:hAnsi="仿宋_GB2312" w:cs="仿宋_GB2312" w:eastAsia="仿宋_GB2312"/>
                <w:sz w:val="32"/>
                <w:b/>
              </w:rPr>
              <w:t>、工期与质量等级要求：</w:t>
            </w:r>
          </w:p>
          <w:p>
            <w:pPr>
              <w:pStyle w:val="null3"/>
              <w:spacing w:before="195"/>
              <w:ind w:firstLine="560"/>
              <w:jc w:val="both"/>
            </w:pPr>
            <w:r>
              <w:rPr>
                <w:rFonts w:ascii="仿宋_GB2312" w:hAnsi="仿宋_GB2312" w:cs="仿宋_GB2312" w:eastAsia="仿宋_GB2312"/>
                <w:sz w:val="28"/>
              </w:rPr>
              <w:t>工</w:t>
            </w:r>
            <w:r>
              <w:rPr>
                <w:rFonts w:ascii="仿宋_GB2312" w:hAnsi="仿宋_GB2312" w:cs="仿宋_GB2312" w:eastAsia="仿宋_GB2312"/>
                <w:sz w:val="28"/>
              </w:rPr>
              <w:t xml:space="preserve">   </w:t>
            </w:r>
            <w:r>
              <w:rPr>
                <w:rFonts w:ascii="仿宋_GB2312" w:hAnsi="仿宋_GB2312" w:cs="仿宋_GB2312" w:eastAsia="仿宋_GB2312"/>
                <w:sz w:val="28"/>
              </w:rPr>
              <w:t>期：</w:t>
            </w:r>
            <w:r>
              <w:rPr>
                <w:rFonts w:ascii="仿宋_GB2312" w:hAnsi="仿宋_GB2312" w:cs="仿宋_GB2312" w:eastAsia="仿宋_GB2312"/>
                <w:sz w:val="28"/>
              </w:rPr>
              <w:t>30</w:t>
            </w:r>
            <w:r>
              <w:rPr>
                <w:rFonts w:ascii="仿宋_GB2312" w:hAnsi="仿宋_GB2312" w:cs="仿宋_GB2312" w:eastAsia="仿宋_GB2312"/>
                <w:sz w:val="28"/>
              </w:rPr>
              <w:t>日历天</w:t>
            </w:r>
            <w:r>
              <w:rPr>
                <w:rFonts w:ascii="仿宋_GB2312" w:hAnsi="仿宋_GB2312" w:cs="仿宋_GB2312" w:eastAsia="仿宋_GB2312"/>
                <w:sz w:val="28"/>
              </w:rPr>
              <w:t xml:space="preserve">           </w:t>
            </w:r>
          </w:p>
          <w:p>
            <w:pPr>
              <w:pStyle w:val="null3"/>
            </w:pPr>
            <w:r>
              <w:rPr>
                <w:rFonts w:ascii="仿宋_GB2312" w:hAnsi="仿宋_GB2312" w:cs="仿宋_GB2312" w:eastAsia="仿宋_GB2312"/>
                <w:sz w:val="28"/>
              </w:rPr>
              <w:t>质量等级：</w:t>
            </w:r>
            <w:r>
              <w:rPr>
                <w:rFonts w:ascii="仿宋_GB2312" w:hAnsi="仿宋_GB2312" w:cs="仿宋_GB2312" w:eastAsia="仿宋_GB2312"/>
                <w:sz w:val="28"/>
              </w:rPr>
              <w:t>达到国家现行合格标准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施工符合国家现行建设标准，能安全、环保、文明施工，自觉履行合同约定。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工期：30日历天。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供应商需提供法定代表人（或委托代理人）身份证明及授权委托书</w:t>
            </w:r>
          </w:p>
        </w:tc>
        <w:tc>
          <w:tcPr>
            <w:tcW w:type="dxa" w:w="3322"/>
          </w:tcPr>
          <w:p>
            <w:pPr>
              <w:pStyle w:val="null3"/>
            </w:pPr>
            <w:r>
              <w:rPr>
                <w:rFonts w:ascii="仿宋_GB2312" w:hAnsi="仿宋_GB2312" w:cs="仿宋_GB2312" w:eastAsia="仿宋_GB2312"/>
              </w:rPr>
              <w:t>供应商需提供法定代表人授权书（附法定代表人身份证复印件）及被授权人身份证复印件（法定代表人直接参加投标只须提供法定代表人身份证复印件）。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供应商具有建设行政主管部门核发的建筑工程施工总承包三级及以上资质，且具备合格有效的安全生产许可证；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拟派项目经理具备建筑工程专业二级及以上注册建造师及安全生产考核合格证（建安 B 证），无在建工程承诺书；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提供非联合体声明磋商承诺。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应按磋商文件要求缴纳磋商保证金</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一、评审内容：响应人提供本项目施工方案，包括①施工方法（工艺) ②施工组织和施工程序③现场平面布置④技术组织措施。 二、赋分标准： 1 、完整性：方案内容完整全面，对上述各项内容均有描述，得2分；缺1项，得1.5分；缺2项，得1分；缺3项，得0.5分；不提供不得分。 2 、针对性：针对性强，得3分；每有一处缺陷的扣0.5分。3 、可实施性：可实施性强，得3分；每有一处缺陷的扣0.5分。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一、评审内容：响应人提供本项目施工进度计划，包括①施工进度目标和施工总进度计划表/图②分部分项 工期一览表③重要工程的验收、检验的次序和时间。 二、赋分标准： 1、完整性：方案内容完整全面，对上述各项内容均有描述，得1分；缺1项，得0.7分；缺2 项，得0.4分；不提供不得分。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一、评审内容：响应人提供本项目工期保证措施，包括①施工组织与管理保证措施②施工技术措施。 二、赋分标准： 1、完整性：方案内容完整全面，对上述各项内容均有描述，得1分；缺1项，得0.5分；不提供不得分。 2、针对性：针对性强，得1分；每有一处缺陷的扣0.5分。3、可实施性：可实施性强，得1分；每有一处缺陷的扣0.5分。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一、评审内容：响应人提供本项目质量保证措施，包括①工程质量目标②施工质量保证措施③施工质量管理与控制方案。 二、赋分标准：1、完整性：方案内容完整全面，对上述各项内容均有描述，得1分；缺1项，得0.7分；缺2 项，得0.4分；不提供不得分。 2、针对性：针对性强，得2分；每有一处缺陷的扣0.5分。 3、可实施性：可实施性强，得2分；每有一处缺陷的扣0.5分。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 分③安全标识：安全警戒标语、施工人员安全警示服和安全帽穿配要求④安全教育培训。 二、赋分标准： 1、完整性：方案内容完整全面，对上述各项内容均有描述，得 2 分；缺 1 项，得 1.5 分；缺 2 项，得 1 分；缺 3 项，得 0.5 分；不提供不得分。 2、针对性： 针对性强，得 2分；每有一处缺陷的扣0.5分。 3、可实施性：可实施性强，得 2 分；每 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 的临时管理措施③文明施工保障措施④文物保护措施。 二、赋分标准： 1、完整性：方案 内容完整全面，对上述各项内容均有描述，得 2 分；缺 1 项，得 1.5 分；缺 2 项，得 1 分；缺 3 项，得 0.5 分；不提供不得分。 2、针对性：针对性强，得 2分；每有一处缺 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一、评审内容：响应人提供本项目环境保护措施，包括①环境保护管理体系②环保控制措施：污染物及废弃物的处理措施、噪音控制措施、防尘及扬尘的控制措施。 二、赋分标准 ： 1、完整性：方案内容完整全面，对上述各项内容均有描述，得 1 分；缺 1 项，得 0.5 分；不提供不得分。 2、针对性：针对性强，得 1 分；每有一处缺陷的扣0.5分。 3 、可实施性：可实施性强，得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一、评审内容：响应人提供本项目新材料新工艺，包括①新技术和新工艺的应用情况②新 产品和新材料的应用情况。 二、赋分标准： 1、完整性：方案内容完整全面，对上述各项 内容均有描述，得 1 分；缺 1 项，得 0.5 分；不提供不得分。 2、针对性：针对性强， 得 1分；每有一处缺陷的扣0.5分。 3、可实施性：可实施性强，得 1 分；每有一处缺陷 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 划②主要材料进场计划③劳动力投入计划。 二、赋分标准： 1、完整性：方案内容完整全 面，对上述各项内容均有描述，得 1 分；缺 1 项，得 0.7 分；缺 2 项，得 0.4 分；不提 供不得分。 2、针对性：针对性强，得2 分；每有一处缺陷的扣0.5分。 3、可实施性： 可实施性强，得 2分；每有一处缺陷的扣0.5分。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施工重点难点</w:t>
            </w:r>
          </w:p>
        </w:tc>
        <w:tc>
          <w:tcPr>
            <w:tcW w:type="dxa" w:w="2492"/>
          </w:tcPr>
          <w:p>
            <w:pPr>
              <w:pStyle w:val="null3"/>
            </w:pPr>
            <w:r>
              <w:rPr>
                <w:rFonts w:ascii="仿宋_GB2312" w:hAnsi="仿宋_GB2312" w:cs="仿宋_GB2312" w:eastAsia="仿宋_GB2312"/>
              </w:rPr>
              <w:t>一、评审内容：响应人提供本项目的施工重难点，包括①施工重难点分析②重难点解决方案。 二、赋分标准： 1、完整性：方案内容完整全面，对上述各项内容均有描述，得2分 ；缺 1项，得1分；不提供不得分。 2、针对性：针对性强，得 2 分；每有一处缺陷的扣 0.5分。3、可实施性：可实施性强，得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 ③维修人员配备和服务措施④响应时间。 二、赋分标准： 1、完整性：方案内容完整全面 ，对上述各项内容均有描述，得 2 分；缺 1 项，得 1.5 分；缺 2 项，得 1 分；缺 3 项 ，得 0.5分；不提供不得分。 2、针对性：针对性强，得 2 分；每有一处缺陷的扣0.5分 。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项目部人员组织机构</w:t>
            </w:r>
          </w:p>
        </w:tc>
        <w:tc>
          <w:tcPr>
            <w:tcW w:type="dxa" w:w="2492"/>
          </w:tcPr>
          <w:p>
            <w:pPr>
              <w:pStyle w:val="null3"/>
            </w:pPr>
            <w:r>
              <w:rPr>
                <w:rFonts w:ascii="仿宋_GB2312" w:hAnsi="仿宋_GB2312" w:cs="仿宋_GB2312" w:eastAsia="仿宋_GB2312"/>
              </w:rPr>
              <w:t>针对本项目提供实施具体人员配置清单(技术负责人、施工员、质量员、安全员、材料员、资料员)，包含:具体成员身份证、岗位证书(技术负责人提供中级及以上职称证书、安全员提供安全C证)、企业为其缴纳近6个月的社保证明扫描件。每人2分，提供不齐扣1分，不提供不得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提供2023年1月1日以来类似项目业绩，每提供一个得1分，最高3分，没有不得分。 注：业绩以成交（中标）通知书或施工合同（以合同签订日期为准）扫描件为准。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