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版本号：KY2026-3-24620260716001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太白校区田径场(含足球场)改造项目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KY2026-3-246</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太白校区田径场(含足球场)改造项目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太白校区田径场(含足球场)改造项目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陕西开放大学太白校区田径场(含足球场)改造项目，简要技术要求、用途：详见磋商文件。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采购包1（太白校区田径场（含足球场）改造）：属于专门面向中小企业采购。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7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4、社会保障资金缴纳证明：提供2025年7月至今任意一个月的社会保障资金缴存单据或社保机构开具的社会保险参保缴费情况证明，依法不需要缴纳社会保障资金的单位应提供相关证明材料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7、法定代表人授权书：法定代表人授权书及被授权人身份证复印件。（法定代表人直接磋商只须提交法定代表人身份证明书）</w:t>
      </w:r>
    </w:p>
    <w:p>
      <w:pPr>
        <w:pStyle w:val="null3"/>
      </w:pPr>
      <w:r>
        <w:rPr>
          <w:rFonts w:ascii="仿宋_GB2312" w:hAnsi="仿宋_GB2312" w:cs="仿宋_GB2312" w:eastAsia="仿宋_GB2312"/>
        </w:rPr>
        <w:t>8、供应商施工资质要求：供应商须具备有效的建筑工程施工总承包三级及以上资质或市政公用工程施工总承包三级及以上资质</w:t>
      </w:r>
    </w:p>
    <w:p>
      <w:pPr>
        <w:pStyle w:val="null3"/>
      </w:pPr>
      <w:r>
        <w:rPr>
          <w:rFonts w:ascii="仿宋_GB2312" w:hAnsi="仿宋_GB2312" w:cs="仿宋_GB2312" w:eastAsia="仿宋_GB2312"/>
        </w:rPr>
        <w:t>9、安全生产许可证：供应商具备有效的安全生产许可证</w:t>
      </w:r>
    </w:p>
    <w:p>
      <w:pPr>
        <w:pStyle w:val="null3"/>
      </w:pPr>
      <w:r>
        <w:rPr>
          <w:rFonts w:ascii="仿宋_GB2312" w:hAnsi="仿宋_GB2312" w:cs="仿宋_GB2312" w:eastAsia="仿宋_GB2312"/>
        </w:rPr>
        <w:t>10、拟派项目经理资质要求：拟派项目经理具有建筑工程专业二级及以上注册建造师执业资格及有效的安全生产考核合格证书，在本单位注册，且未担任其它在建工程的项目经理或项目负责人（提供无在建工程的承诺函）</w:t>
      </w:r>
    </w:p>
    <w:p>
      <w:pPr>
        <w:pStyle w:val="null3"/>
      </w:pPr>
      <w:r>
        <w:rPr>
          <w:rFonts w:ascii="仿宋_GB2312" w:hAnsi="仿宋_GB2312" w:cs="仿宋_GB2312" w:eastAsia="仿宋_GB2312"/>
        </w:rPr>
        <w:t>11、不良记录查询：供应商及项目经理须在“陕西省住房和城乡建设厅”可查询且无不良记录</w:t>
      </w:r>
    </w:p>
    <w:p>
      <w:pPr>
        <w:pStyle w:val="null3"/>
      </w:pPr>
      <w:r>
        <w:rPr>
          <w:rFonts w:ascii="仿宋_GB2312" w:hAnsi="仿宋_GB2312" w:cs="仿宋_GB2312" w:eastAsia="仿宋_GB2312"/>
        </w:rPr>
        <w:t>12、中小企业声明函：提供中小企业声明函（本项目为专门面向中、小、微型企业采购项目）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采购包1：1,784,400.00元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按工程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踏勘时间：2026-07-28 10:00:00</w:t>
            </w:r>
          </w:p>
          <w:p>
            <w:pPr>
              <w:pStyle w:val="null3"/>
              <w:ind w:firstLine="975"/>
            </w:pPr>
            <w:r>
              <w:rPr>
                <w:rFonts w:ascii="仿宋_GB2312" w:hAnsi="仿宋_GB2312" w:cs="仿宋_GB2312" w:eastAsia="仿宋_GB2312"/>
              </w:rPr>
              <w:t>踏勘地点：陕西开放大学（陕西工商职业学院）太白校区 踏勘携带资料:已获取磋商文件的回执函，超过现场踏勘时间采购人概不接待。</w:t>
            </w:r>
          </w:p>
          <w:p>
            <w:pPr>
              <w:pStyle w:val="null3"/>
              <w:ind w:firstLine="975"/>
            </w:pPr>
            <w:r>
              <w:rPr>
                <w:rFonts w:ascii="仿宋_GB2312" w:hAnsi="仿宋_GB2312" w:cs="仿宋_GB2312" w:eastAsia="仿宋_GB2312"/>
              </w:rPr>
              <w:t>联系人：徐闫靖双</w:t>
            </w:r>
          </w:p>
          <w:p>
            <w:pPr>
              <w:pStyle w:val="null3"/>
              <w:ind w:firstLine="975"/>
            </w:pPr>
            <w:r>
              <w:rPr>
                <w:rFonts w:ascii="仿宋_GB2312" w:hAnsi="仿宋_GB2312" w:cs="仿宋_GB2312" w:eastAsia="仿宋_GB2312"/>
              </w:rPr>
              <w:t>联系电话号码：029-81206622-841</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1,784,400.00</w:t>
      </w:r>
    </w:p>
    <w:p>
      <w:pPr>
        <w:pStyle w:val="null3"/>
      </w:pPr>
      <w:r>
        <w:rPr>
          <w:rFonts w:ascii="仿宋_GB2312" w:hAnsi="仿宋_GB2312" w:cs="仿宋_GB2312" w:eastAsia="仿宋_GB2312"/>
        </w:rPr>
        <w:t>采购包最高限价（元）: 1,618,543.92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太白校区田径场（含足球场）改造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1,784,400.00</w:t>
            </w:r>
          </w:p>
        </w:tc>
        <w:tc>
          <w:tcPr>
            <w:tcW w:type="dxa" w:w="1384"/>
          </w:tcPr>
          <w:p>
            <w:pPr>
              <w:pStyle w:val="null3"/>
            </w:pPr>
            <w:r>
              <w:rPr>
                <w:rFonts w:ascii="仿宋_GB2312" w:hAnsi="仿宋_GB2312" w:cs="仿宋_GB2312" w:eastAsia="仿宋_GB2312"/>
              </w:rPr>
              <w:t>批次</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标的名称：太白校区田径场（含足球场）改造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一、项目内容</w:t>
            </w:r>
          </w:p>
          <w:p>
            <w:pPr>
              <w:pStyle w:val="null3"/>
            </w:pPr>
            <w:r>
              <w:rPr>
                <w:rFonts w:ascii="仿宋_GB2312" w:hAnsi="仿宋_GB2312" w:cs="仿宋_GB2312" w:eastAsia="仿宋_GB2312"/>
                <w:sz w:val="21"/>
              </w:rPr>
              <w:t>1.铲除原有塑胶、硅PU场地及人工草坪;</w:t>
            </w:r>
          </w:p>
          <w:p>
            <w:pPr>
              <w:pStyle w:val="null3"/>
            </w:pPr>
            <w:r>
              <w:rPr>
                <w:rFonts w:ascii="仿宋_GB2312" w:hAnsi="仿宋_GB2312" w:cs="仿宋_GB2312" w:eastAsia="仿宋_GB2312"/>
                <w:sz w:val="21"/>
              </w:rPr>
              <w:t>2.对原基层进行清污、打磨、找平处理;</w:t>
            </w:r>
          </w:p>
          <w:p>
            <w:pPr>
              <w:pStyle w:val="null3"/>
            </w:pPr>
            <w:r>
              <w:rPr>
                <w:rFonts w:ascii="仿宋_GB2312" w:hAnsi="仿宋_GB2312" w:cs="仿宋_GB2312" w:eastAsia="仿宋_GB2312"/>
                <w:sz w:val="21"/>
              </w:rPr>
              <w:t>3.勘察维护排水系统;</w:t>
            </w:r>
          </w:p>
          <w:p>
            <w:pPr>
              <w:pStyle w:val="null3"/>
            </w:pPr>
            <w:r>
              <w:rPr>
                <w:rFonts w:ascii="仿宋_GB2312" w:hAnsi="仿宋_GB2312" w:cs="仿宋_GB2312" w:eastAsia="仿宋_GB2312"/>
                <w:sz w:val="21"/>
              </w:rPr>
              <w:t>4.足球场基层增设3cm沥青或同性能垫层;</w:t>
            </w:r>
          </w:p>
          <w:p>
            <w:pPr>
              <w:pStyle w:val="null3"/>
            </w:pPr>
            <w:r>
              <w:rPr>
                <w:rFonts w:ascii="仿宋_GB2312" w:hAnsi="仿宋_GB2312" w:cs="仿宋_GB2312" w:eastAsia="仿宋_GB2312"/>
                <w:sz w:val="21"/>
              </w:rPr>
              <w:t>5.增设标准跳远、铅球场地各1个;</w:t>
            </w:r>
          </w:p>
          <w:p>
            <w:pPr>
              <w:pStyle w:val="null3"/>
            </w:pPr>
            <w:r>
              <w:rPr>
                <w:rFonts w:ascii="仿宋_GB2312" w:hAnsi="仿宋_GB2312" w:cs="仿宋_GB2312" w:eastAsia="仿宋_GB2312"/>
                <w:sz w:val="21"/>
              </w:rPr>
              <w:t>6.铺设13mm厚塑胶地面、6mm厚硅PU及国标人工草坪。项目改造总面积约7000m</w:t>
            </w:r>
            <w:r>
              <w:rPr>
                <w:rFonts w:ascii="仿宋_GB2312" w:hAnsi="仿宋_GB2312" w:cs="仿宋_GB2312" w:eastAsia="仿宋_GB2312"/>
                <w:sz w:val="21"/>
                <w:vertAlign w:val="superscript"/>
              </w:rPr>
              <w:t>2</w:t>
            </w:r>
            <w:r>
              <w:rPr>
                <w:rFonts w:ascii="仿宋_GB2312" w:hAnsi="仿宋_GB2312" w:cs="仿宋_GB2312" w:eastAsia="仿宋_GB2312"/>
                <w:sz w:val="21"/>
              </w:rPr>
              <w:t>(含塑胶地面4000m</w:t>
            </w:r>
            <w:r>
              <w:rPr>
                <w:rFonts w:ascii="仿宋_GB2312" w:hAnsi="仿宋_GB2312" w:cs="仿宋_GB2312" w:eastAsia="仿宋_GB2312"/>
                <w:sz w:val="21"/>
                <w:vertAlign w:val="superscript"/>
              </w:rPr>
              <w:t>2</w:t>
            </w:r>
            <w:r>
              <w:rPr>
                <w:rFonts w:ascii="仿宋_GB2312" w:hAnsi="仿宋_GB2312" w:cs="仿宋_GB2312" w:eastAsia="仿宋_GB2312"/>
                <w:sz w:val="21"/>
              </w:rPr>
              <w:t>、硅PU地面1200m</w:t>
            </w:r>
            <w:r>
              <w:rPr>
                <w:rFonts w:ascii="仿宋_GB2312" w:hAnsi="仿宋_GB2312" w:cs="仿宋_GB2312" w:eastAsia="仿宋_GB2312"/>
                <w:sz w:val="21"/>
                <w:vertAlign w:val="superscript"/>
              </w:rPr>
              <w:t>2</w:t>
            </w:r>
            <w:r>
              <w:rPr>
                <w:rFonts w:ascii="仿宋_GB2312" w:hAnsi="仿宋_GB2312" w:cs="仿宋_GB2312" w:eastAsia="仿宋_GB2312"/>
                <w:sz w:val="21"/>
              </w:rPr>
              <w:t>、足球场1770m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pPr>
            <w:r>
              <w:rPr>
                <w:rFonts w:ascii="仿宋_GB2312" w:hAnsi="仿宋_GB2312" w:cs="仿宋_GB2312" w:eastAsia="仿宋_GB2312"/>
                <w:sz w:val="21"/>
              </w:rPr>
              <w:t>7.2只7人制金属足球球门</w:t>
            </w:r>
          </w:p>
          <w:p>
            <w:pPr>
              <w:pStyle w:val="null3"/>
            </w:pPr>
            <w:r>
              <w:rPr>
                <w:rFonts w:ascii="仿宋_GB2312" w:hAnsi="仿宋_GB2312" w:cs="仿宋_GB2312" w:eastAsia="仿宋_GB2312"/>
                <w:sz w:val="21"/>
              </w:rPr>
              <w:t>8.4个羽毛球网</w:t>
            </w:r>
          </w:p>
          <w:p>
            <w:pPr>
              <w:pStyle w:val="null3"/>
            </w:pPr>
            <w:r>
              <w:rPr>
                <w:rFonts w:ascii="仿宋_GB2312" w:hAnsi="仿宋_GB2312" w:cs="仿宋_GB2312" w:eastAsia="仿宋_GB2312"/>
                <w:sz w:val="21"/>
              </w:rPr>
              <w:t>9.1个软式排球网</w:t>
            </w:r>
          </w:p>
          <w:p>
            <w:pPr>
              <w:pStyle w:val="null3"/>
            </w:pPr>
            <w:r>
              <w:rPr>
                <w:rFonts w:ascii="仿宋_GB2312" w:hAnsi="仿宋_GB2312" w:cs="仿宋_GB2312" w:eastAsia="仿宋_GB2312"/>
                <w:sz w:val="21"/>
              </w:rPr>
              <w:t>10.8个室外专用乒乓球桌</w:t>
            </w:r>
          </w:p>
          <w:p>
            <w:pPr>
              <w:pStyle w:val="null3"/>
            </w:pPr>
            <w:r>
              <w:rPr>
                <w:rFonts w:ascii="仿宋_GB2312" w:hAnsi="仿宋_GB2312" w:cs="仿宋_GB2312" w:eastAsia="仿宋_GB2312"/>
                <w:sz w:val="21"/>
              </w:rPr>
              <w:t>11.1套成品起跳板</w:t>
            </w:r>
          </w:p>
          <w:p>
            <w:pPr>
              <w:pStyle w:val="null3"/>
            </w:pPr>
            <w:r>
              <w:rPr>
                <w:rFonts w:ascii="仿宋_GB2312" w:hAnsi="仿宋_GB2312" w:cs="仿宋_GB2312" w:eastAsia="仿宋_GB2312"/>
                <w:sz w:val="21"/>
              </w:rPr>
              <w:t>12.1个铅球抵趾板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二、人造草坪技术参数</w:t>
            </w:r>
          </w:p>
          <w:tbl>
            <w:tblPr>
              <w:tblInd w:type="dxa" w:w="120"/>
              <w:tblBorders>
                <w:top w:val="none" w:color="000000" w:sz="4"/>
                <w:left w:val="none" w:color="000000" w:sz="4"/>
                <w:bottom w:val="none" w:color="000000" w:sz="4"/>
                <w:right w:val="none" w:color="000000" w:sz="4"/>
                <w:insideH w:val="none"/>
                <w:insideV w:val="none"/>
              </w:tblBorders>
            </w:tblPr>
            <w:tblGrid>
              <w:gridCol w:w="605"/>
              <w:gridCol w:w="1948"/>
            </w:tblGrid>
            <w:tr>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生产工艺</w:t>
                  </w:r>
                </w:p>
              </w:tc>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单丝加茎草丝</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应用领域</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填充足球专用草</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草纤维材质</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PE直单丝</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草纤维纤度</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12000Dtex</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基布</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玻纤基布+抗紫外线基布</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背胶</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环保黑色丁苯背胶</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植草高度</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50㎜±5％</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针距(机械间隔)</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5/8″</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织距</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16.7针/10㎝</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植草密度</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10500针/㎡</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缓冲垫</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10mm厚、绿色、IXPE材质</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颗粒</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环保TPE颗粒、填充不低于4kg/平米</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石英砂</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白色、无棱角、填充不低于30kg/平米</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人造草物理、有害物质限量</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符合国家标准GB/36246-2018</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草丝抗老化性能要求</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人造草坪须提供依据GB/T 20394-2019标准出具的耐老化专项检测报告，老化测试条件及结果应符合标准中关于耐人工气候老化性能的规定。（提供具备国家认可的第三方检验检测机构出具的合格检测报告，投标时提供报告复印件并加盖供应商公章）</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耐磨性能</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人造草坪直丝草纤维完成耐磨性能测试，耐磨次数≥50万周；须提供具备国家认可的第三方检验检测机构出具的合格检测报告，投标时提供报告复印件并加盖供应商公章。</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人造草坪减震垫</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减震垫（材质为IXPE）的物理性能及运动性能，须符合GB 36246-2018《中小学合成材料面层运动场地》 中对面层冲击吸收、垂直变形等核心指标的要求。（提供具备国家认可的第三方检验检测机构出具的合格检测报告，投标时提供报告复印件并加盖供应商公章）</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三、塑胶技术参数要求</w:t>
            </w:r>
          </w:p>
          <w:p>
            <w:pPr>
              <w:pStyle w:val="null3"/>
            </w:pPr>
            <w:r>
              <w:rPr>
                <w:rFonts w:ascii="仿宋_GB2312" w:hAnsi="仿宋_GB2312" w:cs="仿宋_GB2312" w:eastAsia="仿宋_GB2312"/>
                <w:sz w:val="21"/>
              </w:rPr>
              <w:t>（一）混合型塑胶跑道。</w:t>
            </w:r>
          </w:p>
          <w:p>
            <w:pPr>
              <w:pStyle w:val="null3"/>
            </w:pPr>
            <w:r>
              <w:rPr>
                <w:rFonts w:ascii="仿宋_GB2312" w:hAnsi="仿宋_GB2312" w:cs="仿宋_GB2312" w:eastAsia="仿宋_GB2312"/>
                <w:sz w:val="21"/>
              </w:rPr>
              <w:t>塑胶运动场面层工艺要求：</w:t>
            </w:r>
          </w:p>
          <w:p>
            <w:pPr>
              <w:pStyle w:val="null3"/>
            </w:pPr>
            <w:r>
              <w:rPr>
                <w:rFonts w:ascii="仿宋_GB2312" w:hAnsi="仿宋_GB2312" w:cs="仿宋_GB2312" w:eastAsia="仿宋_GB2312"/>
                <w:sz w:val="21"/>
              </w:rPr>
              <w:t>塑胶跑道面层塑胶厚度≥13mm；</w:t>
            </w:r>
          </w:p>
          <w:p>
            <w:pPr>
              <w:pStyle w:val="null3"/>
            </w:pPr>
            <w:r>
              <w:rPr>
                <w:rFonts w:ascii="仿宋_GB2312" w:hAnsi="仿宋_GB2312" w:cs="仿宋_GB2312" w:eastAsia="仿宋_GB2312"/>
                <w:sz w:val="21"/>
              </w:rPr>
              <w:t>塑胶跑道采用聚氨酯塑胶面层结构，底层弹性层厚度≥10mm，面层防滑层厚度≥3mm</w:t>
            </w:r>
          </w:p>
          <w:p>
            <w:pPr>
              <w:pStyle w:val="null3"/>
            </w:pPr>
            <w:r>
              <w:rPr>
                <w:rFonts w:ascii="仿宋_GB2312" w:hAnsi="仿宋_GB2312" w:cs="仿宋_GB2312" w:eastAsia="仿宋_GB2312"/>
                <w:sz w:val="21"/>
              </w:rPr>
              <w:t>必须符合以下有关标准：</w:t>
            </w:r>
          </w:p>
          <w:p>
            <w:pPr>
              <w:pStyle w:val="null3"/>
            </w:pPr>
            <w:r>
              <w:rPr>
                <w:rFonts w:ascii="仿宋_GB2312" w:hAnsi="仿宋_GB2312" w:cs="仿宋_GB2312" w:eastAsia="仿宋_GB2312"/>
                <w:sz w:val="21"/>
              </w:rPr>
              <w:t>1.塑胶面层非固体原材料中有害物质限量要求必须符合下表规定——GB 36246-2018《中小学合成材料面层运动场地》：</w:t>
            </w:r>
          </w:p>
          <w:p>
            <w:pPr>
              <w:pStyle w:val="null3"/>
            </w:pPr>
            <w:r>
              <w:rPr>
                <w:rFonts w:ascii="仿宋_GB2312" w:hAnsi="仿宋_GB2312" w:cs="仿宋_GB2312" w:eastAsia="仿宋_GB2312"/>
                <w:sz w:val="21"/>
              </w:rPr>
              <w:t>（1）塑胶面层非固体原材料中有害物质限量要求必须符合下表规定——GB 36246-2018《中小学合成材料面层运动场地》</w:t>
            </w:r>
          </w:p>
          <w:tbl>
            <w:tblPr>
              <w:tblInd w:type="dxa" w:w="120"/>
              <w:tblBorders>
                <w:top w:val="none" w:color="000000" w:sz="4"/>
                <w:left w:val="none" w:color="000000" w:sz="4"/>
                <w:bottom w:val="none" w:color="000000" w:sz="4"/>
                <w:right w:val="none" w:color="000000" w:sz="4"/>
                <w:insideH w:val="none"/>
                <w:insideV w:val="none"/>
              </w:tblBorders>
            </w:tblPr>
            <w:tblGrid>
              <w:gridCol w:w="238"/>
              <w:gridCol w:w="1912"/>
              <w:gridCol w:w="403"/>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检测项目</w:t>
                  </w:r>
                </w:p>
              </w:tc>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游离甲醛/（g/kg）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苯/（g/kg）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甲苯+二甲苯和乙苯总和/（g/kg）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游离甲苯二异氰酸酯（TDI）和游离六亚甲基二异氰酸酯（HDI）总和/（g/kg）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短链氯化石蜡/（g/kg）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3种邻苯二甲酸酯类化合物/%（DBP,BBP,DEHP）总和/（g/kg）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3种邻苯二甲酸酯类化合物/%（DNOP,DINP,DIDP）总和/（g/kg）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挥发性有机化合物含量（g/L）</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可溶性铅Pb/（mg/kg）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可溶性镉Cd/（mg/kg）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可溶性铬Cr/（mg/kg）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可溶性汞Hg/（mg/kg）</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pPr>
            <w:r>
              <w:rPr>
                <w:rFonts w:ascii="仿宋_GB2312" w:hAnsi="仿宋_GB2312" w:cs="仿宋_GB2312" w:eastAsia="仿宋_GB2312"/>
                <w:sz w:val="21"/>
              </w:rPr>
              <w:t>（2）塑胶面层成品中有害物质限量及气味要求必须符合下表规定——GB 36246-2018《中小学合成材料面层运动场地》：</w:t>
            </w:r>
          </w:p>
          <w:tbl>
            <w:tblPr>
              <w:tblInd w:type="dxa" w:w="120"/>
              <w:tblBorders>
                <w:top w:val="none" w:color="000000" w:sz="4"/>
                <w:left w:val="none" w:color="000000" w:sz="4"/>
                <w:bottom w:val="none" w:color="000000" w:sz="4"/>
                <w:right w:val="none" w:color="000000" w:sz="4"/>
                <w:insideH w:val="none"/>
                <w:insideV w:val="none"/>
              </w:tblBorders>
            </w:tblPr>
            <w:tblGrid>
              <w:gridCol w:w="239"/>
              <w:gridCol w:w="318"/>
              <w:gridCol w:w="1580"/>
              <w:gridCol w:w="416"/>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检测项目</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有害物质含量</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18种多环芳烃总和/（mg/kg）</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苯并【a】芘（mg/kg）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MOCA,%</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可溶性铅Pb/（mg/kg）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可溶性镉Cd/（mg/kg）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可溶性铬Cr/（mg/kg）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可溶性汞Hg/（mg/kg）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游离甲苯二异氰酸酯（TDI）和游离六亚甲基二异氰酸酯（HDI）总和/（g/kg）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≤0.2</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游离二苯基甲烷二异氰酸酯（MDI）（g/kg）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短链氯化石蜡/（g/kg）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3种邻苯二甲酸酯类化合物/%（DBP,BBP,DEHP）总和/（g/kg）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3种邻苯二甲酸酯类化合物/%（DNOP,DINP,DIDP）总和/（g/kg）</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有害物质释放率/（mg/m2.h）</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总挥发性有机物（TVOC）</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甲醛</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甲苯、二甲苯、乙苯总和</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苯</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18"/>
                  <w:vMerge/>
                  <w:tcBorders>
                    <w:top w:val="none" w:color="000000" w:sz="4"/>
                    <w:left w:val="single" w:color="000000" w:sz="4"/>
                    <w:bottom w:val="single" w:color="000000" w:sz="4"/>
                    <w:right w:val="single" w:color="000000" w:sz="4"/>
                  </w:tcBorders>
                </w:tcP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二硫化碳</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气味</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气味等级/级</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bl>
          <w:p>
            <w:pPr>
              <w:pStyle w:val="null3"/>
            </w:pPr>
            <w:r>
              <w:rPr>
                <w:rFonts w:ascii="仿宋_GB2312" w:hAnsi="仿宋_GB2312" w:cs="仿宋_GB2312" w:eastAsia="仿宋_GB2312"/>
                <w:sz w:val="21"/>
              </w:rPr>
              <w:t>（3）塑胶跑道类物理机械性能要求必须符合下表规定——GB 36246-2018《中小学合成材料面层运动场地》：</w:t>
            </w:r>
          </w:p>
          <w:tbl>
            <w:tblPr>
              <w:tblInd w:type="dxa" w:w="120"/>
              <w:tblBorders>
                <w:top w:val="none" w:color="000000" w:sz="4"/>
                <w:left w:val="none" w:color="000000" w:sz="4"/>
                <w:bottom w:val="none" w:color="000000" w:sz="4"/>
                <w:right w:val="none" w:color="000000" w:sz="4"/>
                <w:insideH w:val="none"/>
                <w:insideV w:val="none"/>
              </w:tblBorders>
            </w:tblPr>
            <w:tblGrid>
              <w:gridCol w:w="240"/>
              <w:gridCol w:w="1089"/>
              <w:gridCol w:w="1221"/>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检测项目</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冲击吸收，%</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35~50</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垂直变形，mm</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0.6-3.0</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抗滑值，（BPN,20℃）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≥47（湿测）</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拉伸强度，MPa</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扯断伸长率，%</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阻燃性，级</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四、水性硅PU塑胶球场</w:t>
            </w:r>
          </w:p>
          <w:p>
            <w:pPr>
              <w:pStyle w:val="null3"/>
              <w:jc w:val="both"/>
            </w:pPr>
            <w:r>
              <w:rPr>
                <w:rFonts w:ascii="仿宋_GB2312" w:hAnsi="仿宋_GB2312" w:cs="仿宋_GB2312" w:eastAsia="仿宋_GB2312"/>
                <w:sz w:val="21"/>
              </w:rPr>
              <w:t>硅PU塑胶球场面层塑胶厚度≥8mm；</w:t>
            </w:r>
          </w:p>
          <w:p>
            <w:pPr>
              <w:pStyle w:val="null3"/>
              <w:jc w:val="both"/>
            </w:pPr>
            <w:r>
              <w:rPr>
                <w:rFonts w:ascii="仿宋_GB2312" w:hAnsi="仿宋_GB2312" w:cs="仿宋_GB2312" w:eastAsia="仿宋_GB2312"/>
                <w:sz w:val="21"/>
              </w:rPr>
              <w:t>必须符合以下有关要求：</w:t>
            </w:r>
          </w:p>
          <w:p>
            <w:pPr>
              <w:pStyle w:val="null3"/>
              <w:jc w:val="both"/>
            </w:pPr>
            <w:r>
              <w:rPr>
                <w:rFonts w:ascii="仿宋_GB2312" w:hAnsi="仿宋_GB2312" w:cs="仿宋_GB2312" w:eastAsia="仿宋_GB2312"/>
                <w:sz w:val="21"/>
              </w:rPr>
              <w:t>1.塑胶面层非固体原材料中有害物质限量要求必须符合下表规定——GB 36246-2018《中小学合成材料面层运动场地》：</w:t>
            </w:r>
          </w:p>
          <w:tbl>
            <w:tblPr>
              <w:tblInd w:type="dxa" w:w="120"/>
              <w:tblBorders>
                <w:top w:val="none" w:color="000000" w:sz="4"/>
                <w:left w:val="none" w:color="000000" w:sz="4"/>
                <w:bottom w:val="none" w:color="000000" w:sz="4"/>
                <w:right w:val="none" w:color="000000" w:sz="4"/>
                <w:insideH w:val="none"/>
                <w:insideV w:val="none"/>
              </w:tblBorders>
            </w:tblPr>
            <w:tblGrid>
              <w:gridCol w:w="257"/>
              <w:gridCol w:w="1887"/>
              <w:gridCol w:w="409"/>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检测项目</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游离甲醛/（g/kg）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苯/（g/kg）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≤0.05</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甲苯+二甲苯和乙苯总和/（g/kg）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游离甲苯二异氰酸酯（TDI）和游离六亚甲基二异氰酸酯（HDI）总和/（g/kg）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短链氯化石蜡/（g/kg）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3种邻苯二甲酸酯类化合物/%（DBP,BBP,DEHP）总和/（g/kg）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3种邻苯二甲酸酯类化合物/%（DNOP,DINP,DIDP）总和/（g/kg）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挥发性有机化合物含量（g/L）</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可溶性铅Pb/（mg/kg）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可溶性镉Cd/（mg/kg）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可溶性铬Cr/（mg/kg）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可溶性汞Hg/（mg/kg）</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jc w:val="both"/>
            </w:pPr>
            <w:r>
              <w:rPr>
                <w:rFonts w:ascii="仿宋_GB2312" w:hAnsi="仿宋_GB2312" w:cs="仿宋_GB2312" w:eastAsia="仿宋_GB2312"/>
                <w:sz w:val="21"/>
              </w:rPr>
              <w:t>2.塑胶面层成品中有害物质限量及气味要求必须符合下表规定——GB 36246-2018《中小学合成材料面层运动场地》：</w:t>
            </w:r>
          </w:p>
          <w:tbl>
            <w:tblPr>
              <w:tblInd w:type="dxa" w:w="120"/>
              <w:tblBorders>
                <w:top w:val="none" w:color="000000" w:sz="4"/>
                <w:left w:val="none" w:color="000000" w:sz="4"/>
                <w:bottom w:val="none" w:color="000000" w:sz="4"/>
                <w:right w:val="none" w:color="000000" w:sz="4"/>
                <w:insideH w:val="none"/>
                <w:insideV w:val="none"/>
              </w:tblBorders>
            </w:tblPr>
            <w:tblGrid>
              <w:gridCol w:w="250"/>
              <w:gridCol w:w="366"/>
              <w:gridCol w:w="1521"/>
              <w:gridCol w:w="415"/>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8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检测项目</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有害物质含量</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18种多环芳烃总和/（mg/kg）</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苯并【a】芘（mg/kg）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MOCA,%</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可溶性铅Pb/（mg/kg）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可溶性镉Cd/（mg/kg）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可溶性铬Cr/（mg/kg）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可溶性汞Hg/（mg/kg）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游离甲苯二异氰酸酯（TDI）和游离六亚甲基二异氰酸酯（HDI）总和/（g/kg）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≤0.2</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游离二苯基甲烷二异氰酸酯（MDI）（g/kg）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短链氯化石蜡/（g/kg）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3种邻苯二甲酸酯类化合物/%（DBP,BBP,DEHP）总和/（g/kg）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3种邻苯二甲酸酯类化合物/%（DNOP,DINP,DIDP）总和/（g/kg）</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有害物质释放率/（mg/m2.h）</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总挥发性有机物（TVOC）</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甲醛</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甲苯、二甲苯、乙苯总和</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苯</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66"/>
                  <w:vMerge/>
                  <w:tcBorders>
                    <w:top w:val="none" w:color="000000" w:sz="4"/>
                    <w:left w:val="single" w:color="000000" w:sz="4"/>
                    <w:bottom w:val="single" w:color="000000" w:sz="4"/>
                    <w:right w:val="single" w:color="000000" w:sz="4"/>
                  </w:tcBorders>
                </w:tcP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二硫化碳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气味</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气味等级/级</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bl>
          <w:p>
            <w:pPr>
              <w:pStyle w:val="null3"/>
              <w:jc w:val="both"/>
            </w:pPr>
            <w:r>
              <w:rPr>
                <w:rFonts w:ascii="仿宋_GB2312" w:hAnsi="仿宋_GB2312" w:cs="仿宋_GB2312" w:eastAsia="仿宋_GB2312"/>
                <w:sz w:val="21"/>
              </w:rPr>
              <w:t>3.塑胶球场类物理机械性能要求必须符合下表规定——GB 36246-2018《中小学合成材料面层运动场地》：</w:t>
            </w:r>
          </w:p>
          <w:tbl>
            <w:tblPr>
              <w:tblInd w:type="dxa" w:w="120"/>
              <w:tblBorders>
                <w:top w:val="none" w:color="000000" w:sz="4"/>
                <w:left w:val="none" w:color="000000" w:sz="4"/>
                <w:bottom w:val="none" w:color="000000" w:sz="4"/>
                <w:right w:val="none" w:color="000000" w:sz="4"/>
                <w:insideH w:val="none"/>
                <w:insideV w:val="none"/>
              </w:tblBorders>
            </w:tblPr>
            <w:tblGrid>
              <w:gridCol w:w="231"/>
              <w:gridCol w:w="1039"/>
              <w:gridCol w:w="1280"/>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检测项目</w:t>
                  </w:r>
                </w:p>
              </w:tc>
              <w:tc>
                <w:tcPr>
                  <w:tcW w:type="dxa" w:w="1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冲击吸收，%</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垂直变形，mm</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0.6-3.0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抗滑值，（BPN,20℃）</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80~110（干测）</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拉伸强度，MPa</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扯断伸长率，%</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阻燃性，级</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五、器材类参数</w:t>
            </w:r>
          </w:p>
          <w:tbl>
            <w:tblPr>
              <w:tblBorders>
                <w:top w:val="none" w:color="000000" w:sz="4"/>
                <w:left w:val="none" w:color="000000" w:sz="4"/>
                <w:bottom w:val="none" w:color="000000" w:sz="4"/>
                <w:right w:val="none" w:color="000000" w:sz="4"/>
                <w:insideH w:val="none"/>
                <w:insideV w:val="none"/>
              </w:tblBorders>
            </w:tblPr>
            <w:tblGrid>
              <w:gridCol w:w="180"/>
              <w:gridCol w:w="328"/>
              <w:gridCol w:w="1383"/>
              <w:gridCol w:w="651"/>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参数</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室外乒乓球台</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1.规格：2740×1525×912mm</w:t>
                  </w:r>
                  <w:r>
                    <w:br/>
                  </w:r>
                  <w:r>
                    <w:rPr>
                      <w:rFonts w:ascii="仿宋_GB2312" w:hAnsi="仿宋_GB2312" w:cs="仿宋_GB2312" w:eastAsia="仿宋_GB2312"/>
                      <w:sz w:val="21"/>
                      <w:color w:val="000000"/>
                    </w:rPr>
                    <w:t>台面规格：2740×1525mm，台腿采用直径为Φ60mm、壁厚不小于2.5mm优质管材；台腿的支撑管不小于25*50mm，脚底板厚度不小于8mm，主横梁采用φ42×3mm，</w:t>
                  </w:r>
                  <w:r>
                    <w:br/>
                  </w:r>
                  <w:r>
                    <w:rPr>
                      <w:rFonts w:ascii="仿宋_GB2312" w:hAnsi="仿宋_GB2312" w:cs="仿宋_GB2312" w:eastAsia="仿宋_GB2312"/>
                      <w:sz w:val="21"/>
                      <w:color w:val="000000"/>
                    </w:rPr>
                    <w:t>2.台面采用SMC片状模塑料，整体高温模压一次成型；</w:t>
                  </w:r>
                  <w:r>
                    <w:br/>
                  </w:r>
                  <w:r>
                    <w:rPr>
                      <w:rFonts w:ascii="仿宋_GB2312" w:hAnsi="仿宋_GB2312" w:cs="仿宋_GB2312" w:eastAsia="仿宋_GB2312"/>
                      <w:sz w:val="21"/>
                      <w:color w:val="000000"/>
                    </w:rPr>
                    <w:t>3.台面面板厚度5mm，翻边宽度50mm，翻边厚度6mm。面板背面采用“井”字形加强筋并在内部预埋螺丝，“井”字形加强筋呈小长方形均匀排列，每个小长方形尺寸不大于160×140mm；</w:t>
                  </w:r>
                  <w:r>
                    <w:br/>
                  </w:r>
                  <w:r>
                    <w:rPr>
                      <w:rFonts w:ascii="仿宋_GB2312" w:hAnsi="仿宋_GB2312" w:cs="仿宋_GB2312" w:eastAsia="仿宋_GB2312"/>
                      <w:sz w:val="21"/>
                      <w:color w:val="000000"/>
                    </w:rPr>
                    <w:t>4.台面喷深蓝色漆，使用高压喷涂烤漆，手摸不掉色，褪色率达5年以上；</w:t>
                  </w:r>
                  <w:r>
                    <w:br/>
                  </w:r>
                  <w:r>
                    <w:rPr>
                      <w:rFonts w:ascii="仿宋_GB2312" w:hAnsi="仿宋_GB2312" w:cs="仿宋_GB2312" w:eastAsia="仿宋_GB2312"/>
                      <w:sz w:val="21"/>
                      <w:color w:val="000000"/>
                    </w:rPr>
                    <w:t>5.台面经1040g±2g的刚性球体从距台面1000mm高处自由落体冲击测试后不损坏，台面弹性应为230mm～260mm，投标时提供弹性检测报告；</w:t>
                  </w:r>
                  <w:r>
                    <w:br/>
                  </w:r>
                  <w:r>
                    <w:rPr>
                      <w:rFonts w:ascii="仿宋_GB2312" w:hAnsi="仿宋_GB2312" w:cs="仿宋_GB2312" w:eastAsia="仿宋_GB2312"/>
                      <w:sz w:val="21"/>
                      <w:color w:val="000000"/>
                    </w:rPr>
                    <w:t>6.台板底部采用托管支撑，支撑框架管壁厚度不小于1.7mm，每半块板面支撑框架应不少于4横4纵支撑管连接</w:t>
                  </w:r>
                  <w:r>
                    <w:br/>
                  </w:r>
                  <w:r>
                    <w:rPr>
                      <w:rFonts w:ascii="仿宋_GB2312" w:hAnsi="仿宋_GB2312" w:cs="仿宋_GB2312" w:eastAsia="仿宋_GB2312"/>
                      <w:sz w:val="21"/>
                      <w:color w:val="000000"/>
                    </w:rPr>
                    <w:t>7.为保证台板的稳定性，两块台板与主架的连接均采用四角连接。使台面大面积与支腿构成整体；</w:t>
                  </w:r>
                  <w:r>
                    <w:br/>
                  </w:r>
                  <w:r>
                    <w:rPr>
                      <w:rFonts w:ascii="仿宋_GB2312" w:hAnsi="仿宋_GB2312" w:cs="仿宋_GB2312" w:eastAsia="仿宋_GB2312"/>
                      <w:sz w:val="21"/>
                      <w:color w:val="000000"/>
                    </w:rPr>
                    <w:t>8.有腿架连接板等采用抛丸工艺，静电粉沫高压喷涂烤漆处理，</w:t>
                  </w:r>
                  <w:r>
                    <w:br/>
                  </w:r>
                  <w:r>
                    <w:rPr>
                      <w:rFonts w:ascii="仿宋_GB2312" w:hAnsi="仿宋_GB2312" w:cs="仿宋_GB2312" w:eastAsia="仿宋_GB2312"/>
                      <w:sz w:val="21"/>
                      <w:color w:val="000000"/>
                    </w:rPr>
                    <w:t>9.各连接部位采用螺栓、螺钉紧固，防松、防盗、防锈；链接螺丝突出物均不超过6毫米，</w:t>
                  </w:r>
                  <w:r>
                    <w:br/>
                  </w:r>
                  <w:r>
                    <w:rPr>
                      <w:rFonts w:ascii="仿宋_GB2312" w:hAnsi="仿宋_GB2312" w:cs="仿宋_GB2312" w:eastAsia="仿宋_GB2312"/>
                      <w:sz w:val="21"/>
                      <w:color w:val="000000"/>
                    </w:rPr>
                    <w:t>10.安装方式：采用预埋螺丝固定</w:t>
                  </w:r>
                  <w:r>
                    <w:br/>
                  </w:r>
                  <w:r>
                    <w:rPr>
                      <w:rFonts w:ascii="仿宋_GB2312" w:hAnsi="仿宋_GB2312" w:cs="仿宋_GB2312" w:eastAsia="仿宋_GB2312"/>
                      <w:sz w:val="21"/>
                      <w:color w:val="000000"/>
                    </w:rPr>
                    <w:t>11.器材符合GB19272-2024《室外健身器材的通用 安全要求》中的规定。</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276225" cy="18783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76225" cy="187833"/>
                                </a:xfrm>
                                <a:prstGeom prst="rect">
                                  <a:avLst/>
                                </a:prstGeom>
                              </pic:spPr>
                            </pic:pic>
                          </a:graphicData>
                        </a:graphic>
                      </wp:inline>
                    </w:drawing>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7人制足球门</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1.移动式，门宽5000mm，门高为2000mm,下深1500mm,上深900mm。</w:t>
                  </w:r>
                  <w:r>
                    <w:br/>
                  </w:r>
                  <w:r>
                    <w:rPr>
                      <w:rFonts w:ascii="仿宋_GB2312" w:hAnsi="仿宋_GB2312" w:cs="仿宋_GB2312" w:eastAsia="仿宋_GB2312"/>
                      <w:sz w:val="21"/>
                      <w:color w:val="000000"/>
                    </w:rPr>
                    <w:t>2.门柱和门围均采用89mm×2.75mm钢管焊接。</w:t>
                  </w:r>
                  <w:r>
                    <w:br/>
                  </w:r>
                  <w:r>
                    <w:rPr>
                      <w:rFonts w:ascii="仿宋_GB2312" w:hAnsi="仿宋_GB2312" w:cs="仿宋_GB2312" w:eastAsia="仿宋_GB2312"/>
                      <w:sz w:val="21"/>
                      <w:color w:val="000000"/>
                    </w:rPr>
                    <w:t>3.球门为白色表面色泽一致。</w:t>
                  </w:r>
                  <w:r>
                    <w:br/>
                  </w:r>
                  <w:r>
                    <w:rPr>
                      <w:rFonts w:ascii="仿宋_GB2312" w:hAnsi="仿宋_GB2312" w:cs="仿宋_GB2312" w:eastAsia="仿宋_GB2312"/>
                      <w:sz w:val="21"/>
                      <w:color w:val="000000"/>
                    </w:rPr>
                    <w:t>4.割角焊接，接触地面部分采用40mm*60mm方管，后面梯形采用42折弯成型，厚度2.5mm。</w:t>
                  </w:r>
                  <w:r>
                    <w:br/>
                  </w:r>
                  <w:r>
                    <w:rPr>
                      <w:rFonts w:ascii="仿宋_GB2312" w:hAnsi="仿宋_GB2312" w:cs="仿宋_GB2312" w:eastAsia="仿宋_GB2312"/>
                      <w:sz w:val="21"/>
                      <w:color w:val="000000"/>
                    </w:rPr>
                    <w:t>5.表面处理:所有铁制件表面均经脱脂，抛丸等初级处理后，在自动喷涂线上采用热固性纯聚酯粉末喷涂，完成最后表面处理，涂层厚度70-80um,确保涂层能在户外长期使用。产品具有耐酸碱、耐湿热、抗老化、外观美观等特点，能适合潮湿和酸雨环境。</w:t>
                  </w:r>
                  <w:r>
                    <w:br/>
                  </w:r>
                  <w:r>
                    <w:rPr>
                      <w:rFonts w:ascii="仿宋_GB2312" w:hAnsi="仿宋_GB2312" w:cs="仿宋_GB2312" w:eastAsia="仿宋_GB2312"/>
                      <w:sz w:val="21"/>
                      <w:color w:val="000000"/>
                    </w:rPr>
                    <w:t>6.焊接要求：采用CO2保护焊焊接成型，使用混合气体，焊缝均匀、成型美观，牢固无虚焊、无漏焊、无泡渣、裂纹等缺陷。适用于体育教学和健身训练使用，结构合理，组装简便，使用安全、稳定。</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276225" cy="12718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276225" cy="127182"/>
                                </a:xfrm>
                                <a:prstGeom prst="rect">
                                  <a:avLst/>
                                </a:prstGeom>
                              </pic:spPr>
                            </pic:pic>
                          </a:graphicData>
                        </a:graphic>
                      </wp:inline>
                    </w:drawing>
                  </w:r>
                </w:p>
              </w:tc>
            </w:tr>
          </w:tbl>
          <w:p>
            <w:pPr>
              <w:pStyle w:val="null3"/>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六、工期、质保期、付款要求</w:t>
            </w:r>
          </w:p>
          <w:p>
            <w:pPr>
              <w:pStyle w:val="null3"/>
            </w:pPr>
            <w:r>
              <w:rPr>
                <w:rFonts w:ascii="仿宋_GB2312" w:hAnsi="仿宋_GB2312" w:cs="仿宋_GB2312" w:eastAsia="仿宋_GB2312"/>
                <w:sz w:val="21"/>
              </w:rPr>
              <w:t>★1、工期:自合同签订之日起50日历日内完工。</w:t>
            </w:r>
          </w:p>
          <w:p>
            <w:pPr>
              <w:pStyle w:val="null3"/>
            </w:pPr>
            <w:r>
              <w:rPr>
                <w:rFonts w:ascii="仿宋_GB2312" w:hAnsi="仿宋_GB2312" w:cs="仿宋_GB2312" w:eastAsia="仿宋_GB2312"/>
                <w:sz w:val="21"/>
              </w:rPr>
              <w:t>★2、质保期：自竣工验收合格之日起质保2年。</w:t>
            </w:r>
          </w:p>
          <w:p>
            <w:pPr>
              <w:pStyle w:val="null3"/>
            </w:pPr>
            <w:r>
              <w:rPr>
                <w:rFonts w:ascii="仿宋_GB2312" w:hAnsi="仿宋_GB2312" w:cs="仿宋_GB2312" w:eastAsia="仿宋_GB2312"/>
                <w:sz w:val="21"/>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付款方式：合同签订后，达到付款条件起30日内，支付合同总金额的40.00%；项目完工并交付使用，验收合格后，达到付款条件起30日内，支付至</w:t>
            </w:r>
            <w:r>
              <w:rPr>
                <w:rFonts w:ascii="仿宋_GB2312" w:hAnsi="仿宋_GB2312" w:cs="仿宋_GB2312" w:eastAsia="仿宋_GB2312"/>
                <w:sz w:val="21"/>
                <w:color w:val="000000"/>
              </w:rPr>
              <w:t>审计</w:t>
            </w:r>
            <w:r>
              <w:rPr>
                <w:rFonts w:ascii="仿宋_GB2312" w:hAnsi="仿宋_GB2312" w:cs="仿宋_GB2312" w:eastAsia="仿宋_GB2312"/>
                <w:sz w:val="21"/>
                <w:color w:val="000000"/>
              </w:rPr>
              <w:t>审定金额的100%。</w:t>
            </w:r>
          </w:p>
          <w:p>
            <w:pPr>
              <w:pStyle w:val="null3"/>
            </w:pPr>
            <w:r>
              <w:rPr>
                <w:rFonts w:ascii="仿宋_GB2312" w:hAnsi="仿宋_GB2312" w:cs="仿宋_GB2312" w:eastAsia="仿宋_GB2312"/>
                <w:sz w:val="21"/>
                <w:b/>
                <w:color w:val="000000"/>
              </w:rPr>
              <w:t>4、样品要求</w:t>
            </w:r>
          </w:p>
          <w:p>
            <w:pPr>
              <w:pStyle w:val="null3"/>
            </w:pPr>
            <w:r>
              <w:rPr>
                <w:rFonts w:ascii="仿宋_GB2312" w:hAnsi="仿宋_GB2312" w:cs="仿宋_GB2312" w:eastAsia="仿宋_GB2312"/>
                <w:sz w:val="21"/>
                <w:color w:val="000000"/>
              </w:rPr>
              <w:t>供应商递交响应文件时，需提供人造草坪（尺寸不小于300mm*300mm）、塑胶面层（尺寸不小于200mm*300mm）、硅PU塑胶球场面层（尺寸不小于200mm*300mm）样品。样品需封装后递交，外封装上应粘贴样品清单并加盖供应商公章。成交单位的样品不予退还，其他供应商的样品在中标（成交）结果公告发布满7个工作日后可办理退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施工要求的质量标准：达到现行“合格”标准，符合国家、行业、地方规定以及磋商文件规定的质量和安全标准要求。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★1、工期:自合同签订之日起50日历日内完工。 ★2、质保期：自竣工验收合格之日起质保2年。 ★3、付款方式：合同签订后，达到付款条件起30日内，支付合同总金额的40.00%；项目完工并交付使用，验收合格后，达到付款条件起30日内，支付至审计审定金额的100%。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1、需要落实的政府采购政策：（1）《政府采购促进中小企业发展管理办法》的通知--财库〔2020〕46号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 3、磋商文件中所有的商务要求均为实质性要求，供应商必须响应并满足。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法定代表人授权书及被授权人身份证复印件。（法定代表人直接磋商只须提交法定代表人身份证明书）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供应商施工资质要求</w:t>
            </w:r>
          </w:p>
        </w:tc>
        <w:tc>
          <w:tcPr>
            <w:tcW w:type="dxa" w:w="3322"/>
          </w:tcPr>
          <w:p>
            <w:pPr>
              <w:pStyle w:val="null3"/>
            </w:pPr>
            <w:r>
              <w:rPr>
                <w:rFonts w:ascii="仿宋_GB2312" w:hAnsi="仿宋_GB2312" w:cs="仿宋_GB2312" w:eastAsia="仿宋_GB2312"/>
              </w:rPr>
              <w:t>供应商须具备有效的建筑工程施工总承包三级及以上资质或市政公用工程施工总承包三级及以上资质</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拟派项目经理具有建筑工程专业二级及以上注册建造师执业资格及有效的安全生产考核合格证书，在本单位注册，且未担任其它在建工程的项目经理或项目负责人（提供无在建工程的承诺函）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不良记录查询</w:t>
            </w:r>
          </w:p>
        </w:tc>
        <w:tc>
          <w:tcPr>
            <w:tcW w:type="dxa" w:w="3322"/>
          </w:tcPr>
          <w:p>
            <w:pPr>
              <w:pStyle w:val="null3"/>
            </w:pPr>
            <w:r>
              <w:rPr>
                <w:rFonts w:ascii="仿宋_GB2312" w:hAnsi="仿宋_GB2312" w:cs="仿宋_GB2312" w:eastAsia="仿宋_GB2312"/>
              </w:rPr>
              <w:t>供应商及项目经理须在“陕西省住房和城乡建设厅”可查询且无不良记录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 其他说明.docx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 其他说明.docx 供应商资格条件证明文件.docx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响应产品的技术指标、参数完全符合或优于磋商文件要求，计22分；参数每负偏离一项扣0.2分，扣完为止。 注：所有参数应提供参数的相应的证明材料并加盖供应商公章，证明材料不限于产品规格表、产品宣传彩页、技术白皮书、制造商官方网站发布的产品信息、说明书、检测机构出具的检测报告等技术性支持材料，磋商文件有要求的按磋商文件要求提供证明材料，未提供不计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施工及实施方案</w:t>
            </w:r>
          </w:p>
        </w:tc>
        <w:tc>
          <w:tcPr>
            <w:tcW w:type="dxa" w:w="2492"/>
          </w:tcPr>
          <w:p>
            <w:pPr>
              <w:pStyle w:val="null3"/>
            </w:pPr>
            <w:r>
              <w:rPr>
                <w:rFonts w:ascii="仿宋_GB2312" w:hAnsi="仿宋_GB2312" w:cs="仿宋_GB2312" w:eastAsia="仿宋_GB2312"/>
              </w:rPr>
              <w:t>供应商根据本项目的项目内容，提出相对应的施工及实施方案，包括：①拆除方案；②基层处理方案；③排水系统勘察维护方案；④塑胶地面、硅PU及人工草坪铺设方案；⑤重难点分析及应对措施；满分10分，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2、详细评审---施工及实施方案.docx</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针对本项目制定切实可行的工期保障措施，包括：①提供施工进度表或施工网络图；②确保进度、保证工期的的技术组织措施。满分4分。每有一项缺项扣2分，每有一项内容中有缺陷，扣1分。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3、详细评审---工期保障措施.docx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方案。内容包含但不限于：①质量保证措施；②产品进货渠道正规（需提供所投产品的合法来源渠道证明文件，不限于原厂授权或销售协议）；③人员配备。④施工机械配备完善、材料投入符合采购要求；⑤安全、文明施工技术组织措施；满分10分。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4、详细评审---质量保证措施.docx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供应商提供的人造草坪、塑胶面层、硅PU塑胶球场面层样品，现场查验样品实物，评标委员会根据样品的材质、规格、气味、质量方面进行综合评审： ①样品整体观感佳，性能完全契合采购需求；材质手感厚实均匀；规格与采购要求一致，尺寸规整；无刺激性异味；外观无破损、色差、褶皱等缺陷，整体质量上乘，得6分； ②样品性能基本符合采购需求；材质符合要求，手感及均匀度尚可；规格与采购要求基本一致，无明显偏差；有轻微异味但不刺鼻；外观存在1-2处轻微缺陷，不影响正常使用，整体质量良好，得3分； ③样品性能满足采购基本需求，无实质性偏离；材质符合采购要求；规格偏差不明显；气味等级可接受；外观缺陷≥3处，但可整改，整体质量达标，得1分。未提供不计分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5、详细评审---样品.docx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据供应商针对本项目实际情况提供详细的售后服务方案：包括①有售后保障工作服务方案及工作计划；②有保修团队人员配备并具备相关资格证书；③有巡查或复查计划及售后质量保障措施；④对工程维修服务响应时限有明确的承诺；⑤保修期外维修时零配件优惠（注明折扣率）；满分10分。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1.供应商或所投人造草坪、塑胶跑道、水性硅PU塑胶球场产品的生产厂家，具有有效的有害物质过程控制管理体系认证证书，得2分。 2.如响应材料为节能环保或环境标志产品，提供相关证明材料，每提供1份计1分，满分2分。 （注：节能环保、环境标志产品以经国家确定的认证机构出具的、处于有效期内的节能产品、环境标志产品认证证书为准）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7、详细评审---企业实力.docx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提供供应商2021年1月1日至今（以合同签订日期为准）同类项目完整合同，每提供1个计1分，最高得4分，提供不全不计分。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详见附件：2、详细评审---施工及实施方案.docx</w:t>
      </w:r>
    </w:p>
    <w:p>
      <w:pPr>
        <w:pStyle w:val="null3"/>
        <w:ind w:firstLine="960"/>
      </w:pPr>
      <w:r>
        <w:rPr>
          <w:rFonts w:ascii="仿宋_GB2312" w:hAnsi="仿宋_GB2312" w:cs="仿宋_GB2312" w:eastAsia="仿宋_GB2312"/>
        </w:rPr>
        <w:t>详见附件：3、详细评审---工期保障措施.docx</w:t>
      </w:r>
    </w:p>
    <w:p>
      <w:pPr>
        <w:pStyle w:val="null3"/>
        <w:ind w:firstLine="960"/>
      </w:pPr>
      <w:r>
        <w:rPr>
          <w:rFonts w:ascii="仿宋_GB2312" w:hAnsi="仿宋_GB2312" w:cs="仿宋_GB2312" w:eastAsia="仿宋_GB2312"/>
        </w:rPr>
        <w:t>详见附件：4、详细评审---质量保证措施.docx</w:t>
      </w:r>
    </w:p>
    <w:p>
      <w:pPr>
        <w:pStyle w:val="null3"/>
        <w:ind w:firstLine="960"/>
      </w:pPr>
      <w:r>
        <w:rPr>
          <w:rFonts w:ascii="仿宋_GB2312" w:hAnsi="仿宋_GB2312" w:cs="仿宋_GB2312" w:eastAsia="仿宋_GB2312"/>
        </w:rPr>
        <w:t>详见附件：5、详细评审---样品.docx</w:t>
      </w:r>
    </w:p>
    <w:p>
      <w:pPr>
        <w:pStyle w:val="null3"/>
        <w:ind w:firstLine="960"/>
      </w:pPr>
      <w:r>
        <w:rPr>
          <w:rFonts w:ascii="仿宋_GB2312" w:hAnsi="仿宋_GB2312" w:cs="仿宋_GB2312" w:eastAsia="仿宋_GB2312"/>
        </w:rPr>
        <w:t>详见附件：6、详细评审---售后服务.docx</w:t>
      </w:r>
    </w:p>
    <w:p>
      <w:pPr>
        <w:pStyle w:val="null3"/>
        <w:ind w:firstLine="960"/>
      </w:pPr>
      <w:r>
        <w:rPr>
          <w:rFonts w:ascii="仿宋_GB2312" w:hAnsi="仿宋_GB2312" w:cs="仿宋_GB2312" w:eastAsia="仿宋_GB2312"/>
        </w:rPr>
        <w:t>详见附件：7、详细评审---企业实力.docx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