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2E66B">
      <w:pPr>
        <w:spacing w:line="360" w:lineRule="auto"/>
        <w:jc w:val="center"/>
        <w:rPr>
          <w:rFonts w:hint="eastAsia" w:ascii="宋体" w:hAnsi="宋体" w:eastAsia="宋体" w:cs="宋体"/>
          <w:color w:val="auto"/>
          <w:sz w:val="24"/>
          <w:szCs w:val="24"/>
          <w:lang w:val="en-US" w:eastAsia="zh-CN"/>
        </w:rPr>
      </w:pPr>
      <w:bookmarkStart w:id="5" w:name="_GoBack"/>
      <w:bookmarkEnd w:id="5"/>
      <w:bookmarkStart w:id="0" w:name="_Toc117416533"/>
      <w:bookmarkStart w:id="1" w:name="_Toc127382311"/>
      <w:bookmarkStart w:id="2" w:name="_Toc9195"/>
      <w:r>
        <w:rPr>
          <w:rFonts w:hint="eastAsia" w:ascii="宋体" w:hAnsi="宋体" w:eastAsia="宋体" w:cs="宋体"/>
          <w:color w:val="auto"/>
          <w:sz w:val="24"/>
          <w:szCs w:val="24"/>
          <w:lang w:val="en-US" w:eastAsia="zh-CN"/>
        </w:rPr>
        <w:t>采购需求</w:t>
      </w:r>
    </w:p>
    <w:p w14:paraId="691D11D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w:t>
      </w:r>
      <w:bookmarkEnd w:id="0"/>
      <w:bookmarkEnd w:id="1"/>
      <w:bookmarkEnd w:id="2"/>
      <w:r>
        <w:rPr>
          <w:rFonts w:hint="eastAsia" w:ascii="宋体" w:hAnsi="宋体" w:eastAsia="宋体" w:cs="宋体"/>
          <w:color w:val="auto"/>
          <w:sz w:val="24"/>
          <w:szCs w:val="24"/>
          <w:lang w:val="en-US" w:eastAsia="zh-CN"/>
        </w:rPr>
        <w:t>项目概述</w:t>
      </w:r>
    </w:p>
    <w:p w14:paraId="5793CF8B">
      <w:pPr>
        <w:spacing w:line="360" w:lineRule="auto"/>
        <w:jc w:val="both"/>
        <w:rPr>
          <w:rFonts w:hint="eastAsia" w:ascii="宋体" w:hAnsi="宋体" w:eastAsia="宋体" w:cs="宋体"/>
          <w:color w:val="auto"/>
          <w:sz w:val="24"/>
          <w:szCs w:val="24"/>
          <w:lang w:val="en-US" w:eastAsia="zh-CN"/>
        </w:rPr>
      </w:pPr>
      <w:bookmarkStart w:id="3" w:name="_Toc127382313"/>
      <w:bookmarkStart w:id="4" w:name="_Toc3355"/>
      <w:r>
        <w:rPr>
          <w:rFonts w:hint="eastAsia" w:ascii="宋体" w:hAnsi="宋体" w:eastAsia="宋体" w:cs="宋体"/>
          <w:color w:val="auto"/>
          <w:sz w:val="24"/>
          <w:szCs w:val="24"/>
          <w:lang w:val="en-US" w:eastAsia="zh-CN"/>
        </w:rPr>
        <w:t>（一）服务</w:t>
      </w:r>
      <w:bookmarkEnd w:id="3"/>
      <w:bookmarkEnd w:id="4"/>
      <w:r>
        <w:rPr>
          <w:rFonts w:hint="eastAsia" w:ascii="宋体" w:hAnsi="宋体" w:eastAsia="宋体" w:cs="宋体"/>
          <w:color w:val="auto"/>
          <w:sz w:val="24"/>
          <w:szCs w:val="24"/>
          <w:lang w:val="en-US" w:eastAsia="zh-CN"/>
        </w:rPr>
        <w:t>目标</w:t>
      </w:r>
    </w:p>
    <w:p w14:paraId="343CEAA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实现项目实施过程中的质量、进度、投资、变更控制，安全文明生产监督管理、合同、信息管理，参与项目建设各方关系的协调工作，完成项目“四控、三管、一协调”的监理服务目标。</w:t>
      </w:r>
    </w:p>
    <w:p w14:paraId="1B46B2E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根据项目总体建设要求，遵照政府有关政策、法律、法规，遵循国内外的有关标准，对本项目进行全过程监理，以确保项目按设计和相关技术标准规范的要求在规定的时间内保质保量完成。</w:t>
      </w:r>
    </w:p>
    <w:p w14:paraId="3A80675C">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（二）服务内容</w:t>
      </w:r>
    </w:p>
    <w:p w14:paraId="546EEAF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1、设计阶段</w:t>
      </w:r>
    </w:p>
    <w:p w14:paraId="1FFB22AB">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监理工作内容主要包括：</w:t>
      </w:r>
    </w:p>
    <w:p w14:paraId="5BFB72B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（1）协助完成项目建设方案的评审工作</w:t>
      </w:r>
    </w:p>
    <w:p w14:paraId="3EA6DCA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（2）协助审核和确认项目建设过程中的各种关键技术方案；</w:t>
      </w:r>
    </w:p>
    <w:p w14:paraId="3E7B0B3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（3）协助审核项目的组织实施方案、项目计划等；</w:t>
      </w:r>
    </w:p>
    <w:p w14:paraId="6189B81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（4）协助审核项目质量保证计划；</w:t>
      </w:r>
    </w:p>
    <w:p w14:paraId="17D065D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（5）协助审核项目的测试方案。</w:t>
      </w:r>
    </w:p>
    <w:p w14:paraId="797DEC7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（6）协助对项目的目标、范围和功能进行界定，内容如下：</w:t>
      </w:r>
    </w:p>
    <w:p w14:paraId="500EC2C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范围完整性确认：项目范围描述文档应包含最基本的业务需求，还应进行初步的子系统/模块划分，并对每一个子系统或模块的基本用户需求进行描述或说明，以保证可根据项目范围描述文档进行功能点计数。</w:t>
      </w:r>
    </w:p>
    <w:p w14:paraId="3A8803D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需求粒度检查：根据项目范围描述文档确定需求粒度。对于软件项目相关材料不全、需求较粗的项目，应及时向局反馈，需将软件项目需求尽可能细化，细化到根据领域经验可以估算出各个子系统/模块的开发工作量为止。</w:t>
      </w:r>
    </w:p>
    <w:p w14:paraId="39AE3BE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关键属性确认：对于软件开发项目，应考虑的主要因素包括项目计数时机，如项目早期、项目中期、项目完成等；软件因素，如应用领域、软件的完整性级别、质量要求、工期要求等；开发因素，如采用技术、开发团队、过程能力等。</w:t>
      </w:r>
    </w:p>
    <w:p w14:paraId="664519A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于软件运维项目，应考虑的主要因素包括（但不限于）：运维水平要求因素，如业务重要性、安全等级、支持方式等；运维能力要求因素，如采用技术、团队背景等；运维系统特征因素，如部署方式、用户规模、系统关联性等。</w:t>
      </w:r>
    </w:p>
    <w:p w14:paraId="1518A91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项目特殊活动确认：应考虑的主要因素包括数据、应用迁移；直接非人力成本，如采购费、差旅费等。</w:t>
      </w:r>
    </w:p>
    <w:p w14:paraId="6F522573">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（7）协助局审核并确定项目的概（预）算，并出具报告，内容如下：</w:t>
      </w:r>
    </w:p>
    <w:p w14:paraId="1A55BFB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方法选择:根据评估目的、项目计数时机、需求粒度检查结果选择合适的计数方法。具备功能点方法估算条件的项目，计数方法应选用已发</w:t>
      </w:r>
      <w:r>
        <w:rPr>
          <w:rFonts w:hint="eastAsia" w:ascii="宋体" w:hAnsi="宋体" w:eastAsia="宋体" w:cs="宋体"/>
          <w:color w:val="auto"/>
          <w:sz w:val="24"/>
          <w:szCs w:val="24"/>
          <w:highlight w:val="none"/>
          <w:lang w:val="en-US" w:eastAsia="zh-CN"/>
        </w:rPr>
        <w:t>布的《软件工程 软件开发成本度量规范》（GB/T 36964-2018）</w:t>
      </w:r>
      <w:r>
        <w:rPr>
          <w:rFonts w:hint="eastAsia" w:ascii="宋体" w:hAnsi="宋体" w:eastAsia="宋体" w:cs="宋体"/>
          <w:color w:val="auto"/>
          <w:sz w:val="24"/>
          <w:szCs w:val="24"/>
          <w:lang w:val="en-US" w:eastAsia="zh-CN"/>
        </w:rPr>
        <w:t>。不具备功能点方法估算条件的项目，宜根据项目的主要属性，结合类似项目经验采用类比法或类推法直接进行工作量或成本估算。</w:t>
      </w:r>
    </w:p>
    <w:p w14:paraId="6257BB0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规模:根据项目范围描述文档进行软件规模计数，使用功能点方法进行规模估算应采用统一的计数模板。</w:t>
      </w:r>
    </w:p>
    <w:p w14:paraId="192CD40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工作量估算</w:t>
      </w:r>
    </w:p>
    <w:p w14:paraId="2018BC9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选择调整因子：参考行业基准或委托方历史数据，不超过上限。对采用功能点估算的项目，按规则选用相应因子。注明数据来源。</w:t>
      </w:r>
    </w:p>
    <w:p w14:paraId="61A2655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确定生产率：选定适应项目特性的生产率指标。</w:t>
      </w:r>
    </w:p>
    <w:p w14:paraId="48457C5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确认评估范围：与委托方共认功能点计数清单，处理需求变更或遗漏，记录评估资料变更，形成文件记录。</w:t>
      </w:r>
    </w:p>
    <w:p w14:paraId="6F4DFEBB">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明确应用场景：参照《软件工程 软件开发成本度量规范》（GB/T 36964-2018），确定各应用场景下的估算要求。</w:t>
      </w:r>
    </w:p>
    <w:p w14:paraId="0BF44B4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成本费用范围确认：依据中国软件行业基准数据库（CSMBK）发布的行业基准数据和人月费率所评估的软件项目成本包含所有的直接人力成本、间接成本和毛利润，不包括直接非人力成本、数据迁移和软件维护等成本</w:t>
      </w:r>
    </w:p>
    <w:p w14:paraId="66E0D65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人月费率确认：人月费率（包括直接人力成本、间接成本及毛利润），可根据委托方历史数据或行业数据确定。如果采用委托方历史数据，应在评估报告中明示</w:t>
      </w:r>
    </w:p>
    <w:p w14:paraId="49A6934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殊成本费用评估：对于特殊成本费用的评估应与委托方确认，特殊成本费用主要包括：数据迁移费用，可依据评估人员的经验及行业数据、组织历史数据估算；直接非人力成本，可参考GB/T36964-2018中直接非人力成本的内容直接估算。</w:t>
      </w:r>
    </w:p>
    <w:p w14:paraId="2F049A0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2、实施阶段</w:t>
      </w:r>
    </w:p>
    <w:p w14:paraId="5F894DA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实施阶段指项目合同签订之日起，至项目进度计划、实施方案等经监理方确认后，总监理工程师签发开工令为止。</w:t>
      </w:r>
    </w:p>
    <w:p w14:paraId="3EEB315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实施阶段监理工作内容：</w:t>
      </w:r>
    </w:p>
    <w:p w14:paraId="1F0617C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（1）质量控制</w:t>
      </w:r>
    </w:p>
    <w:p w14:paraId="3343082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项目实施方案的审核和确认，并提出监理意见；</w:t>
      </w:r>
    </w:p>
    <w:p w14:paraId="53B8AE9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对项目各参与单位提出的项目计划方案、服务方案等进行审核，对过程资料进行审查，并提出监理意见；</w:t>
      </w:r>
    </w:p>
    <w:p w14:paraId="03209BA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实施过程中确定质量控制基线，检查、督促各参建单位严格按合同和规范、保密标准、相关技术标准、设计要求进行实施，监督各参建单位现场施工管理，注重关键节点、重要质量控制点及隐蔽性工程的现场监督；</w:t>
      </w:r>
    </w:p>
    <w:p w14:paraId="147903B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督工程中所提供的产品和服务符合承建合同及国家相关法律、法规和标准，做好货物及服务验收工作，审查各参建单位采购清单，检查项目使用材料、设备的规格型号、配置、质量与数量；负责对采购的硬件设备和软件产品的合格证、检测报告进行审查，对采购的各类设备及建成的系统进行符合性检查；</w:t>
      </w:r>
    </w:p>
    <w:p w14:paraId="0BE5630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协助对设备安装、系统软件的安装调试和应用系统的部署组织验收，并提出监理意见；</w:t>
      </w:r>
    </w:p>
    <w:p w14:paraId="48A35BC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监督项目参建单位的系统集成工作，并提出监理意见；</w:t>
      </w:r>
    </w:p>
    <w:p w14:paraId="1221C83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负责审核项目各参建单位、第三方测评机构提交的测试方案（计划）和报告，保证测试方案和报告的有效性和对功能点、各项验收指标的覆盖，并提出监理意见；</w:t>
      </w:r>
    </w:p>
    <w:p w14:paraId="48C500E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负责监督项目各参建单位对应用系统进行测试工作，对测试报告内容进行检查，并审查部分测试结果，直至测试合格，并提出监理意见；</w:t>
      </w:r>
    </w:p>
    <w:p w14:paraId="1E9E6F03">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进行各系统及服务交付成果的核实、软件质量检查及验收工作；</w:t>
      </w:r>
    </w:p>
    <w:p w14:paraId="1E383ADB">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协助组织各项验收工作。</w:t>
      </w:r>
    </w:p>
    <w:p w14:paraId="5F60FBA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（2）进度控制</w:t>
      </w:r>
    </w:p>
    <w:p w14:paraId="30B092E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审核各参建单位的进度分解计划，确认分解计划可以保证总体计划目标；</w:t>
      </w:r>
    </w:p>
    <w:p w14:paraId="08F5B58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对项目实施进度进行实时跟踪，并要求各参建单位按项目总进度计划进行动态调整，以确保项目的阶段目标和总体进度目标的实现；</w:t>
      </w:r>
    </w:p>
    <w:p w14:paraId="65FDB73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配合对项目实施过程中发生的需求变更进行分析、管理和认定，以确保项目的阶段目标和总体进度目标的实现；</w:t>
      </w:r>
    </w:p>
    <w:p w14:paraId="1D50B63F">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（3）投资控制</w:t>
      </w:r>
    </w:p>
    <w:p w14:paraId="0EA22EB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对项目实施中的设计优化方案或措施进行评审，对项目建设不可预见性造成风险性支出进行技术性审核，并提出意见；</w:t>
      </w:r>
    </w:p>
    <w:p w14:paraId="5C14B36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对局信息化项目进行预算评审并出具评审报告；</w:t>
      </w:r>
    </w:p>
    <w:p w14:paraId="7D3E8AA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对因项目变更导致的费用变化进行审查；</w:t>
      </w:r>
    </w:p>
    <w:p w14:paraId="517C23E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做好项目进度付款前的项目完成量确认。</w:t>
      </w:r>
    </w:p>
    <w:p w14:paraId="18E937F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变更控制</w:t>
      </w:r>
    </w:p>
    <w:p w14:paraId="5A1EA39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建立符合本次项目实施及管理的变更管理机制，通过变更控制机制对项目计划、流程、预算、进度或可交付成果的变更申请进行评估，出具是否同意进行的变更审查意见；</w:t>
      </w:r>
    </w:p>
    <w:p w14:paraId="29117DA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通过对项目计划、费用、质量和进度的影响进行分析，审核变更方案，并提出监理意见；</w:t>
      </w:r>
    </w:p>
    <w:p w14:paraId="27AC7AE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根据变更方案及变更费用预算对变更的的费用进行造价审核；</w:t>
      </w:r>
    </w:p>
    <w:p w14:paraId="32435643">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配合局和各参建单位完善及妥善保管有关的变更记录。</w:t>
      </w:r>
    </w:p>
    <w:p w14:paraId="588B203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（4）合同管理</w:t>
      </w:r>
    </w:p>
    <w:p w14:paraId="2CA2F7F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跟踪检查合同的执行情况，监督各参建单位按合同约定履约；</w:t>
      </w:r>
    </w:p>
    <w:p w14:paraId="08FCE5E3">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对合同工期的延误和延期进行审核确认；</w:t>
      </w:r>
    </w:p>
    <w:p w14:paraId="1E3FD8A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对合同变更、索赔等事宜进行审核确认；</w:t>
      </w:r>
    </w:p>
    <w:p w14:paraId="76C181E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根据合同约定，鉴定违约事件。</w:t>
      </w:r>
    </w:p>
    <w:p w14:paraId="62FC714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（5）文档管理</w:t>
      </w:r>
    </w:p>
    <w:p w14:paraId="5565510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制订文档管理制度和流程、文档编制规范及项目各类文档模板；</w:t>
      </w:r>
    </w:p>
    <w:p w14:paraId="42E75D1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在项目实施过程中做好项目文档的收集、管理工作等，项目文档包括不限于纸质文件、电子文件等；</w:t>
      </w:r>
    </w:p>
    <w:p w14:paraId="7FAD8AD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督促各参建单位做好对所建项目文档的收集、整理和保管工作，确保各参建单位所提供的项目各阶段形成的技术、管理文档的内容和种类符合相关标准；</w:t>
      </w:r>
    </w:p>
    <w:p w14:paraId="562B606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做好监理记录及项目大事记；</w:t>
      </w:r>
    </w:p>
    <w:p w14:paraId="5E4FE90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做好项目合同、技术方案、测试文档、验收报告、来往文档等各类文件收集、存档以及移交工作；</w:t>
      </w:r>
    </w:p>
    <w:p w14:paraId="2BB2E26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做好项目专题会、项目例会等会议纪要；</w:t>
      </w:r>
    </w:p>
    <w:p w14:paraId="78B7E38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做好文档的版本控制。</w:t>
      </w:r>
    </w:p>
    <w:p w14:paraId="3885903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（6）安全管理</w:t>
      </w:r>
    </w:p>
    <w:p w14:paraId="1DF5E8E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明确工程的安全要求，协助编制安全管理制度；</w:t>
      </w:r>
    </w:p>
    <w:p w14:paraId="6A11415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促使项目各方所签订的合同中与安全相关的条款在技术、经济上有效；</w:t>
      </w:r>
    </w:p>
    <w:p w14:paraId="57F4853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审核优化各参建单位的项目安全性设计方案，重点加强对实施方案中安全性、合法性、合理性、功能性的审查；</w:t>
      </w:r>
    </w:p>
    <w:p w14:paraId="7D71EB4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督促各参建单位做好自身的信息安全和实施安全管理工作，并检查其具体工作的实施；</w:t>
      </w:r>
    </w:p>
    <w:p w14:paraId="1D78FF7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协助对发生的安全问题进行处置。</w:t>
      </w:r>
    </w:p>
    <w:p w14:paraId="2A7C741F">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（7）组织协调</w:t>
      </w:r>
    </w:p>
    <w:p w14:paraId="419C4D1C">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负责协调本项目所涉及的各方之间的工作关系，并协调解决项目建设过程中的各类纠纷。通过口头沟通、书面沟通、必要的会议制度来实施协调工作。</w:t>
      </w:r>
    </w:p>
    <w:p w14:paraId="1192DC6B">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3、验收阶段</w:t>
      </w:r>
    </w:p>
    <w:p w14:paraId="6F8D8F8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（1）验收阶段内容</w:t>
      </w:r>
    </w:p>
    <w:p w14:paraId="390599A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验收准备：协助制定项目验收方案，明确验收标准、验收内容、验收方法和验收流程。督促承建单位完成项目收尾工作，整理提交完整的验收资料，包括项目建设总结报告、技术文档、测试报告、培训资料等。</w:t>
      </w:r>
    </w:p>
    <w:p w14:paraId="0BE5A96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初步验收：组织初步验收工作，对项目的完成情况、质量状况、文档资料等进行全面检查和评估。针对初步验收中发现的问题，要求承建单位限期整改，整改完成后进行复查，确保项目达到初步验收要求。</w:t>
      </w:r>
    </w:p>
    <w:p w14:paraId="535FFCF7">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最终验收：在初步验收合格且试运行期满后，协助业主组织最终验收。协助业主邀请相关专家组成验收专家组，按照验收方案对项目进行全面验收。验收过程中，认真听取各方意见，对项目进行客观评价，出具验收报告。对验收不合格的项目，提出整改意见，要求承建单位继续整改，直至项目通过验收。</w:t>
      </w:r>
    </w:p>
    <w:p w14:paraId="239F8B1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档案验收：协助组织档案专项验收工作、直至验收合格。</w:t>
      </w:r>
    </w:p>
    <w:p w14:paraId="5FF7FA1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竣工验收：协助组织竣工验收，直至项目竣工验收合格。</w:t>
      </w:r>
    </w:p>
    <w:p w14:paraId="3A51919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（2）验收阶段监理内容</w:t>
      </w:r>
    </w:p>
    <w:p w14:paraId="428FDF0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验收阶段的质量控制：</w:t>
      </w:r>
    </w:p>
    <w:p w14:paraId="62098A2C">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建设单位审核承建单位提交的验收计划及其方案，明确验收目标、各方责任、验收内容、验收标准、验收方式和验收结果等内容，验收计划及其方案存在问题时，可通过监理工作联系单的方式与承建单位沟通，要求对问题整改，若承建单位整改仍不合格，签发监理通知单，责令承建单位整改，并跟踪落实；否则，应在初验报审表中予以签认；</w:t>
      </w:r>
    </w:p>
    <w:p w14:paraId="2724057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及时处理承建单位提交的初验申请，审核初验的必备条件。不具备初验条件时，可通过监理工作联系单的方式与承建单位沟通，要求对问题整改，若承建单位整改仍不合格，签发监理通知单，责令承建单位整改，并跟踪落实；否则，在初验报审表中予以签认，并报建设单位签认；</w:t>
      </w:r>
    </w:p>
    <w:p w14:paraId="204E937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协助建设单位对初验中发现的质量问题进行评估，根据质量问题的性质和影响范围，确定整改要求和整改后的验收方式，以监理通知单的形式告知承建单位。必要时，应组织重新验收；</w:t>
      </w:r>
    </w:p>
    <w:p w14:paraId="53745FD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督促承建单位根据整改要求提出整改方案，并监督整改过程；</w:t>
      </w:r>
    </w:p>
    <w:p w14:paraId="288E498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与建设单位和承建单位一起对初验结果进行确认，共同签署初验合格报告；</w:t>
      </w:r>
    </w:p>
    <w:p w14:paraId="1594C0A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有计划地监督系统的试运行，督促承建单位解决试运行中出现的质量问题；</w:t>
      </w:r>
    </w:p>
    <w:p w14:paraId="2D59AE83">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建设单位组织项目终验，及时处理承建单位提交的终验申请。不具备终验条件时，可通过监理工作联系单的方式与承建单位沟通，要求对问题整改，若承建单位整改仍不合格，签发监理通知单，责令承建单位整改，并跟踪落实；否则，在终验报审表中予以签认，并报建设单位签认；</w:t>
      </w:r>
    </w:p>
    <w:p w14:paraId="7078C25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对于项目中的关键性技术指标，要求承建单位出具第三方测试机构的测试报告。第三方测试机构应经建设单位和监理单位同意；</w:t>
      </w:r>
    </w:p>
    <w:p w14:paraId="0FD3947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督促承建单位完成项目实施方案中确定的培训，并对培训效果做出评估。</w:t>
      </w:r>
    </w:p>
    <w:p w14:paraId="04DC8E59">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验收阶段的进度控制：</w:t>
      </w:r>
    </w:p>
    <w:p w14:paraId="6FEBCFF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对验收阶段进度安排提出监理意见；</w:t>
      </w:r>
    </w:p>
    <w:p w14:paraId="18BECB6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审核承建单位初验、终验和项目整改计划的可行性，以监理意见单的形式告知建设单位和承建单位；</w:t>
      </w:r>
    </w:p>
    <w:p w14:paraId="3E02949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要求建设单位、承建单位以初验合格报告作为启动试运行的依据，以终验报告作为项目验收结束的依据。</w:t>
      </w:r>
    </w:p>
    <w:p w14:paraId="712F3F8B">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验收阶段的投资控制：</w:t>
      </w:r>
    </w:p>
    <w:p w14:paraId="1B958EE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验收阶段的投资控制内容如下：</w:t>
      </w:r>
    </w:p>
    <w:p w14:paraId="0B817B5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总监理工程师审核承建单位提交的阶段性付款申请，根据承建合同规定的付款条件，签发工程款支付证书；</w:t>
      </w:r>
    </w:p>
    <w:p w14:paraId="1FC2EE81">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验收阶段的合同管理：</w:t>
      </w:r>
    </w:p>
    <w:p w14:paraId="48F9578D">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及时向建设单位、承建单位通报承建合同、协议及相关变更所规定项目内容的执行情况，提出监理意见；</w:t>
      </w:r>
    </w:p>
    <w:p w14:paraId="1E9F4C6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宜协助建设单位与承建单位签署其他补充协议。</w:t>
      </w:r>
    </w:p>
    <w:p w14:paraId="18C1CCEF">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验收阶段的信息管理：</w:t>
      </w:r>
    </w:p>
    <w:p w14:paraId="726D4E0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管理项目验收阶段的文档，如初验申请、验收方案、初验报告、终验申请和终验报告等相关文档；</w:t>
      </w:r>
    </w:p>
    <w:p w14:paraId="02B1969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督促建设单位、承建单位按照事先约定，编制、签署和妥善保存验收阶段的项目文档；</w:t>
      </w:r>
    </w:p>
    <w:p w14:paraId="5AA20915">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督促建设单位、承建单位及时整理项目文档；</w:t>
      </w:r>
    </w:p>
    <w:p w14:paraId="71463AA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整理与项目有关的全部监理文档，并提交建设单位。</w:t>
      </w:r>
    </w:p>
    <w:p w14:paraId="3574BE5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验收阶段的协调：</w:t>
      </w:r>
    </w:p>
    <w:p w14:paraId="7119417A">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协调建设单位和承建单位在验收计划、验收目标、验收范围、验收内容、验收方法和验收标准等方面达成一致，做备忘录并经三方签认；</w:t>
      </w:r>
    </w:p>
    <w:p w14:paraId="0FDD4F7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协调建设单位配合验收阶段的工作；</w:t>
      </w:r>
    </w:p>
    <w:p w14:paraId="130DEE24">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及时对验收阶段协调的结果作备忘录，并经三方签认；</w:t>
      </w:r>
    </w:p>
    <w:p w14:paraId="0126858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协助建设单位和承建单位完成项目移交工作。</w:t>
      </w:r>
    </w:p>
    <w:p w14:paraId="7A98989C">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（三）服务要求、周期与地点</w:t>
      </w:r>
    </w:p>
    <w:p w14:paraId="61EE931E">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1.监理服务要求</w:t>
      </w:r>
    </w:p>
    <w:p w14:paraId="4C01BB16">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为保障项目监理工作顺利实施，确保项目建设合法合规、规范有序，监理单位应组建具有高度政治责任感、丰富从业经验、能够与采购人及承建单位进行良好沟通的高素质团队参与本项目监理工作。</w:t>
      </w:r>
    </w:p>
    <w:p w14:paraId="098A1930">
      <w:pPr>
        <w:spacing w:line="360" w:lineRule="auto"/>
        <w:jc w:val="both"/>
        <w:rPr>
          <w:rFonts w:hint="eastAsia"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(1)拟投入本项目的团队人员须为投标单位的正式员工，能够满足本项目监理工作需要，项目团队人员须配备合理，具有不同层次，应至少包括总监理工程师、监理工程师等。</w:t>
      </w:r>
    </w:p>
    <w:p w14:paraId="60EAA760">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(2)总监理工程师不得随意更换，因重大原因确需调整的，须经采购人同意。投标人应根据项目实施阶段工作重点及时调整专业监理人员配置，人员调整必须经采购人同意，采购人有权要求更换人员。</w:t>
      </w:r>
    </w:p>
    <w:p w14:paraId="3FD80CA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(3)采购人有权要求投标人保证人员配置的合理性以及团队人员的稳定性，因人员的过失造成采购人的直接经济损失，应赔偿采购人的损失。</w:t>
      </w:r>
    </w:p>
    <w:p w14:paraId="6CED6592">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2.服务周期：2027年2月至2028年2月</w:t>
      </w:r>
    </w:p>
    <w:p w14:paraId="4789A585">
      <w:r>
        <w:rPr>
          <w:rFonts w:hint="eastAsia" w:ascii="宋体" w:hAnsi="宋体" w:eastAsia="宋体" w:cs="宋体"/>
          <w:color w:val="auto"/>
          <w:sz w:val="24"/>
          <w:szCs w:val="24"/>
          <w:lang w:val="en-US" w:eastAsia="zh-CN"/>
        </w:rPr>
        <w:t>3.服务地点：陕西省西安市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E07EE6"/>
    <w:rsid w:val="0AE07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2026-09-10T08:24:00Z</dcterms:created>
  <dc:creator>默.</dc:creator>
  <cp:lastModifiedBy>默.</cp:lastModifiedBy>
  <dcterms:modified xsi:type="dcterms:W3CDTF">2026-09-10T08:25:13Z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CDC605D3A62441E9B2FA5B66C7DC67E8_11</vt:lpwstr>
  </property>
  <property fmtid="{D5CDD505-2E9C-101B-9397-08002B2CF9AE}" pid="4" name="KSOTemplateDocerSaveRecord">
    <vt:lpwstr>eyJoZGlkIjoiODRiNTUyYTZjMjQzNThhN2Q1ZDg0OTkwMzZkZmI1MDAiLCJ1c2VySWQiOiI0MjU4NjcyNzgifQ==</vt:lpwstr>
  </property>
</Properties>
</file>