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版本号：XBZB-2026-07720260604002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2026年后勤服务项目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XBZB-2026-077</w:t>
      </w:r>
      <w:r>
        <w:br/>
      </w:r>
      <w:r>
        <w:br/>
      </w:r>
      <w:r>
        <w:br/>
      </w:r>
    </w:p>
    <w:p>
      <w:pPr>
        <w:pStyle w:val="null3"/>
        <w:jc w:val="center"/>
        <w:outlineLvl w:val="2"/>
      </w:pPr>
      <w:r>
        <w:rPr>
          <w:rFonts w:ascii="仿宋_GB2312" w:hAnsi="仿宋_GB2312" w:cs="仿宋_GB2312" w:eastAsia="仿宋_GB2312"/>
          <w:sz w:val="28"/>
          <w:b/>
        </w:rPr>
        <w:t>西安市碑林区市场监督管理局（本级）</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西安市碑林区市场监督管理局（本级）</w:t>
      </w:r>
      <w:r>
        <w:rPr>
          <w:rFonts w:ascii="仿宋_GB2312" w:hAnsi="仿宋_GB2312" w:cs="仿宋_GB2312" w:eastAsia="仿宋_GB2312"/>
        </w:rPr>
        <w:t>委托，拟对</w:t>
      </w:r>
      <w:r>
        <w:rPr>
          <w:rFonts w:ascii="仿宋_GB2312" w:hAnsi="仿宋_GB2312" w:cs="仿宋_GB2312" w:eastAsia="仿宋_GB2312"/>
        </w:rPr>
        <w:t>2026年后勤服务项目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2026年后勤服务项目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为保障局里正常工作业务开展，本次采购后勤服务项目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采购包1（2026年后勤服务项目）：属于专门面向中小企业采购。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3、非联合体磋商：本项目不接受联合体磋商。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西安市碑林区市场监督管理局（本级）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西安市碑林区文艺南路付8号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15091671791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刘辉、卫梦艺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029-85221302/18709196981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代理服务费收费标准：定额收取柒仟元整（小写：7000.00元）。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西安市碑林区市场监督管理局（本级）</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西安市碑林区市场监督管理局（本级）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西安市碑林区市场监督管理局（本级）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联系人：刘辉、卫梦艺</w:t>
      </w:r>
    </w:p>
    <w:p>
      <w:pPr>
        <w:pStyle w:val="null3"/>
      </w:pPr>
      <w:r>
        <w:rPr>
          <w:rFonts w:ascii="仿宋_GB2312" w:hAnsi="仿宋_GB2312" w:cs="仿宋_GB2312" w:eastAsia="仿宋_GB2312"/>
        </w:rPr>
        <w:t>联系电话：18709196981</w:t>
      </w:r>
    </w:p>
    <w:p>
      <w:pPr>
        <w:pStyle w:val="null3"/>
      </w:pPr>
      <w:r>
        <w:rPr>
          <w:rFonts w:ascii="仿宋_GB2312" w:hAnsi="仿宋_GB2312" w:cs="仿宋_GB2312" w:eastAsia="仿宋_GB2312"/>
        </w:rPr>
        <w:t>地址：陕西省西安市碑林区南关正街88号长安国际中心F座17层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为保障局里正常工作业务开展，本次采购后勤服务项目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343,000.00</w:t>
      </w:r>
    </w:p>
    <w:p>
      <w:pPr>
        <w:pStyle w:val="null3"/>
      </w:pPr>
      <w:r>
        <w:rPr>
          <w:rFonts w:ascii="仿宋_GB2312" w:hAnsi="仿宋_GB2312" w:cs="仿宋_GB2312" w:eastAsia="仿宋_GB2312"/>
        </w:rPr>
        <w:t>采购包最高限价（元）: 343,000.00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2026年后勤服务项目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标的名称：2026年后勤服务项目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为保障局里正常工作业务开展</w:t>
            </w:r>
            <w:r>
              <w:rPr>
                <w:rFonts w:ascii="仿宋_GB2312" w:hAnsi="仿宋_GB2312" w:cs="仿宋_GB2312" w:eastAsia="仿宋_GB2312"/>
                <w:sz w:val="20"/>
              </w:rPr>
              <w:t>，本次采购后勤服务项目。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工作区域：西安市碑林区。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工作内容：供应商为采购人提供以下：司机、保洁等岗位服务业务；</w:t>
            </w:r>
          </w:p>
          <w:p>
            <w:pPr>
              <w:pStyle w:val="null3"/>
              <w:jc w:val="left"/>
            </w:pPr>
            <w:r>
              <w:rPr>
                <w:rFonts w:ascii="仿宋_GB2312" w:hAnsi="仿宋_GB2312" w:cs="仿宋_GB2312" w:eastAsia="仿宋_GB2312"/>
                <w:sz w:val="20"/>
              </w:rPr>
              <w:t>1、司机服务：</w:t>
            </w:r>
          </w:p>
          <w:p>
            <w:pPr>
              <w:pStyle w:val="null3"/>
              <w:jc w:val="left"/>
            </w:pPr>
            <w:r>
              <w:rPr>
                <w:rFonts w:ascii="仿宋_GB2312" w:hAnsi="仿宋_GB2312" w:cs="仿宋_GB2312" w:eastAsia="仿宋_GB2312"/>
                <w:sz w:val="20"/>
              </w:rPr>
              <w:t>1.1按照采购人领导指定的时间、地点、要求，完成驾驶车辆出车任务；</w:t>
            </w:r>
          </w:p>
          <w:p>
            <w:pPr>
              <w:pStyle w:val="null3"/>
              <w:jc w:val="left"/>
            </w:pPr>
            <w:r>
              <w:rPr>
                <w:rFonts w:ascii="仿宋_GB2312" w:hAnsi="仿宋_GB2312" w:cs="仿宋_GB2312" w:eastAsia="仿宋_GB2312"/>
                <w:sz w:val="20"/>
              </w:rPr>
              <w:t>1.2严格遵守交通规则和采购人规章制度，保证行车安全；</w:t>
            </w:r>
          </w:p>
          <w:p>
            <w:pPr>
              <w:pStyle w:val="null3"/>
              <w:jc w:val="left"/>
            </w:pPr>
            <w:r>
              <w:rPr>
                <w:rFonts w:ascii="仿宋_GB2312" w:hAnsi="仿宋_GB2312" w:cs="仿宋_GB2312" w:eastAsia="仿宋_GB2312"/>
                <w:sz w:val="20"/>
              </w:rPr>
              <w:t>1.3保持车辆整洁，定期进行安全检查和车辆保养维护；</w:t>
            </w:r>
          </w:p>
          <w:p>
            <w:pPr>
              <w:pStyle w:val="null3"/>
              <w:jc w:val="left"/>
            </w:pPr>
            <w:r>
              <w:rPr>
                <w:rFonts w:ascii="仿宋_GB2312" w:hAnsi="仿宋_GB2312" w:cs="仿宋_GB2312" w:eastAsia="仿宋_GB2312"/>
                <w:sz w:val="20"/>
              </w:rPr>
              <w:t>1.4车辆出入库，做好各项检查登记；</w:t>
            </w:r>
          </w:p>
          <w:p>
            <w:pPr>
              <w:pStyle w:val="null3"/>
              <w:jc w:val="left"/>
            </w:pPr>
            <w:r>
              <w:rPr>
                <w:rFonts w:ascii="仿宋_GB2312" w:hAnsi="仿宋_GB2312" w:cs="仿宋_GB2312" w:eastAsia="仿宋_GB2312"/>
                <w:sz w:val="20"/>
              </w:rPr>
              <w:t>1.5完成领导安排的其他临时性任务。</w:t>
            </w:r>
          </w:p>
          <w:p>
            <w:pPr>
              <w:pStyle w:val="null3"/>
              <w:jc w:val="left"/>
            </w:pPr>
            <w:r>
              <w:rPr>
                <w:rFonts w:ascii="仿宋_GB2312" w:hAnsi="仿宋_GB2312" w:cs="仿宋_GB2312" w:eastAsia="仿宋_GB2312"/>
                <w:sz w:val="20"/>
              </w:rPr>
              <w:t>2、保洁服务：</w:t>
            </w:r>
          </w:p>
          <w:p>
            <w:pPr>
              <w:pStyle w:val="null3"/>
              <w:jc w:val="left"/>
            </w:pPr>
            <w:r>
              <w:rPr>
                <w:rFonts w:ascii="仿宋_GB2312" w:hAnsi="仿宋_GB2312" w:cs="仿宋_GB2312" w:eastAsia="仿宋_GB2312"/>
                <w:sz w:val="20"/>
              </w:rPr>
              <w:t>2.1地面清扫、拖洗、擦拭；</w:t>
            </w:r>
          </w:p>
          <w:p>
            <w:pPr>
              <w:pStyle w:val="null3"/>
              <w:jc w:val="left"/>
            </w:pPr>
            <w:r>
              <w:rPr>
                <w:rFonts w:ascii="仿宋_GB2312" w:hAnsi="仿宋_GB2312" w:cs="仿宋_GB2312" w:eastAsia="仿宋_GB2312"/>
                <w:sz w:val="20"/>
              </w:rPr>
              <w:t>2.2办公家具、设备表面清洁；</w:t>
            </w:r>
          </w:p>
          <w:p>
            <w:pPr>
              <w:pStyle w:val="null3"/>
              <w:jc w:val="left"/>
            </w:pPr>
            <w:r>
              <w:rPr>
                <w:rFonts w:ascii="仿宋_GB2312" w:hAnsi="仿宋_GB2312" w:cs="仿宋_GB2312" w:eastAsia="仿宋_GB2312"/>
                <w:sz w:val="20"/>
              </w:rPr>
              <w:t>2.3门窗、玻璃清洁(定期);</w:t>
            </w:r>
          </w:p>
          <w:p>
            <w:pPr>
              <w:pStyle w:val="null3"/>
              <w:jc w:val="left"/>
            </w:pPr>
            <w:r>
              <w:rPr>
                <w:rFonts w:ascii="仿宋_GB2312" w:hAnsi="仿宋_GB2312" w:cs="仿宋_GB2312" w:eastAsia="仿宋_GB2312"/>
                <w:sz w:val="20"/>
              </w:rPr>
              <w:t>2.4垃圾桶清理、更换垃圾袋；</w:t>
            </w:r>
          </w:p>
          <w:p>
            <w:pPr>
              <w:pStyle w:val="null3"/>
              <w:jc w:val="left"/>
            </w:pPr>
            <w:r>
              <w:rPr>
                <w:rFonts w:ascii="仿宋_GB2312" w:hAnsi="仿宋_GB2312" w:cs="仿宋_GB2312" w:eastAsia="仿宋_GB2312"/>
                <w:sz w:val="20"/>
              </w:rPr>
              <w:t>2.5卫生间清洁、消毒、补充消耗品；</w:t>
            </w:r>
          </w:p>
          <w:p>
            <w:pPr>
              <w:pStyle w:val="null3"/>
              <w:jc w:val="both"/>
            </w:pPr>
            <w:r>
              <w:rPr>
                <w:rFonts w:ascii="仿宋_GB2312" w:hAnsi="仿宋_GB2312" w:cs="仿宋_GB2312" w:eastAsia="仿宋_GB2312"/>
                <w:sz w:val="20"/>
              </w:rPr>
              <w:t>2.6茶水间清洁、公共区域清洁等。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1、服务标准</w:t>
            </w:r>
          </w:p>
          <w:p>
            <w:pPr>
              <w:pStyle w:val="null3"/>
              <w:jc w:val="left"/>
            </w:pPr>
            <w:r>
              <w:rPr>
                <w:rFonts w:ascii="仿宋_GB2312" w:hAnsi="仿宋_GB2312" w:cs="仿宋_GB2312" w:eastAsia="仿宋_GB2312"/>
                <w:sz w:val="20"/>
              </w:rPr>
              <w:t>供应商提供的服务应符合行业标准，并按照采购人具体要求具体实施；日常工作应实时监督，有问题及时进行整改；接受采购人量化考核、各项检查。</w:t>
            </w:r>
          </w:p>
          <w:p>
            <w:pPr>
              <w:pStyle w:val="null3"/>
              <w:jc w:val="left"/>
            </w:pPr>
            <w:r>
              <w:rPr>
                <w:rFonts w:ascii="仿宋_GB2312" w:hAnsi="仿宋_GB2312" w:cs="仿宋_GB2312" w:eastAsia="仿宋_GB2312"/>
                <w:sz w:val="20"/>
              </w:rPr>
              <w:t>2、服务时间</w:t>
            </w:r>
          </w:p>
          <w:p>
            <w:pPr>
              <w:pStyle w:val="null3"/>
              <w:jc w:val="left"/>
            </w:pPr>
            <w:r>
              <w:rPr>
                <w:rFonts w:ascii="仿宋_GB2312" w:hAnsi="仿宋_GB2312" w:cs="仿宋_GB2312" w:eastAsia="仿宋_GB2312"/>
                <w:sz w:val="20"/>
              </w:rPr>
              <w:t>日常服务时间：</w:t>
            </w:r>
            <w:r>
              <w:rPr>
                <w:rFonts w:ascii="仿宋_GB2312" w:hAnsi="仿宋_GB2312" w:cs="仿宋_GB2312" w:eastAsia="仿宋_GB2312"/>
                <w:sz w:val="20"/>
              </w:rPr>
              <w:t>[周一至周五，上午8:00-12:00,下午13:30-18:00]</w:t>
            </w:r>
          </w:p>
          <w:p>
            <w:pPr>
              <w:pStyle w:val="null3"/>
              <w:jc w:val="left"/>
            </w:pPr>
            <w:r>
              <w:rPr>
                <w:rFonts w:ascii="仿宋_GB2312" w:hAnsi="仿宋_GB2312" w:cs="仿宋_GB2312" w:eastAsia="仿宋_GB2312"/>
                <w:sz w:val="20"/>
              </w:rPr>
              <w:t>3、人员配备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1）共计人数：</w:t>
            </w:r>
            <w:r>
              <w:rPr>
                <w:rFonts w:ascii="仿宋_GB2312" w:hAnsi="仿宋_GB2312" w:cs="仿宋_GB2312" w:eastAsia="仿宋_GB2312"/>
                <w:sz w:val="20"/>
              </w:rPr>
              <w:t>10</w:t>
            </w:r>
            <w:r>
              <w:rPr>
                <w:rFonts w:ascii="仿宋_GB2312" w:hAnsi="仿宋_GB2312" w:cs="仿宋_GB2312" w:eastAsia="仿宋_GB2312"/>
                <w:sz w:val="20"/>
              </w:rPr>
              <w:t>人。</w:t>
            </w:r>
          </w:p>
          <w:p>
            <w:pPr>
              <w:pStyle w:val="null3"/>
              <w:jc w:val="left"/>
            </w:pPr>
            <w:r>
              <w:rPr>
                <w:rFonts w:ascii="仿宋_GB2312" w:hAnsi="仿宋_GB2312" w:cs="仿宋_GB2312" w:eastAsia="仿宋_GB2312"/>
                <w:sz w:val="20"/>
              </w:rPr>
              <w:t>司机：</w:t>
            </w:r>
            <w:r>
              <w:rPr>
                <w:rFonts w:ascii="仿宋_GB2312" w:hAnsi="仿宋_GB2312" w:cs="仿宋_GB2312" w:eastAsia="仿宋_GB2312"/>
                <w:sz w:val="20"/>
              </w:rPr>
              <w:t>6</w:t>
            </w:r>
            <w:r>
              <w:rPr>
                <w:rFonts w:ascii="仿宋_GB2312" w:hAnsi="仿宋_GB2312" w:cs="仿宋_GB2312" w:eastAsia="仿宋_GB2312"/>
                <w:sz w:val="20"/>
              </w:rPr>
              <w:t>人</w:t>
            </w:r>
          </w:p>
          <w:p>
            <w:pPr>
              <w:pStyle w:val="null3"/>
              <w:jc w:val="both"/>
            </w:pPr>
            <w:r>
              <w:rPr>
                <w:rFonts w:ascii="仿宋_GB2312" w:hAnsi="仿宋_GB2312" w:cs="仿宋_GB2312" w:eastAsia="仿宋_GB2312"/>
                <w:sz w:val="20"/>
              </w:rPr>
              <w:t>保洁：</w:t>
            </w:r>
            <w:r>
              <w:rPr>
                <w:rFonts w:ascii="仿宋_GB2312" w:hAnsi="仿宋_GB2312" w:cs="仿宋_GB2312" w:eastAsia="仿宋_GB2312"/>
                <w:sz w:val="20"/>
              </w:rPr>
              <w:t>4</w:t>
            </w:r>
            <w:r>
              <w:rPr>
                <w:rFonts w:ascii="仿宋_GB2312" w:hAnsi="仿宋_GB2312" w:cs="仿宋_GB2312" w:eastAsia="仿宋_GB2312"/>
                <w:sz w:val="20"/>
              </w:rPr>
              <w:t>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0"/>
              </w:rPr>
              <w:t>（一）、服务期限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1）服务期：</w:t>
            </w:r>
            <w:r>
              <w:rPr>
                <w:rFonts w:ascii="仿宋_GB2312" w:hAnsi="仿宋_GB2312" w:cs="仿宋_GB2312" w:eastAsia="仿宋_GB2312"/>
                <w:sz w:val="20"/>
              </w:rPr>
              <w:t>服务期为</w:t>
            </w:r>
            <w:r>
              <w:rPr>
                <w:rFonts w:ascii="仿宋_GB2312" w:hAnsi="仿宋_GB2312" w:cs="仿宋_GB2312" w:eastAsia="仿宋_GB2312"/>
                <w:sz w:val="20"/>
              </w:rPr>
              <w:t>7</w:t>
            </w:r>
            <w:r>
              <w:rPr>
                <w:rFonts w:ascii="仿宋_GB2312" w:hAnsi="仿宋_GB2312" w:cs="仿宋_GB2312" w:eastAsia="仿宋_GB2312"/>
                <w:sz w:val="20"/>
              </w:rPr>
              <w:t>个月，此预算为</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6</w:t>
            </w:r>
            <w:r>
              <w:rPr>
                <w:rFonts w:ascii="仿宋_GB2312" w:hAnsi="仿宋_GB2312" w:cs="仿宋_GB2312" w:eastAsia="仿宋_GB2312"/>
                <w:sz w:val="20"/>
              </w:rPr>
              <w:t>月至</w:t>
            </w:r>
            <w:r>
              <w:rPr>
                <w:rFonts w:ascii="仿宋_GB2312" w:hAnsi="仿宋_GB2312" w:cs="仿宋_GB2312" w:eastAsia="仿宋_GB2312"/>
                <w:sz w:val="20"/>
              </w:rPr>
              <w:t>12月</w:t>
            </w:r>
            <w:r>
              <w:rPr>
                <w:rFonts w:ascii="仿宋_GB2312" w:hAnsi="仿宋_GB2312" w:cs="仿宋_GB2312" w:eastAsia="仿宋_GB2312"/>
                <w:sz w:val="20"/>
              </w:rPr>
              <w:t>，每月约</w:t>
            </w:r>
            <w:r>
              <w:rPr>
                <w:rFonts w:ascii="仿宋_GB2312" w:hAnsi="仿宋_GB2312" w:cs="仿宋_GB2312" w:eastAsia="仿宋_GB2312"/>
                <w:sz w:val="20"/>
              </w:rPr>
              <w:t>49000元，共</w:t>
            </w:r>
            <w:r>
              <w:rPr>
                <w:rFonts w:ascii="仿宋_GB2312" w:hAnsi="仿宋_GB2312" w:cs="仿宋_GB2312" w:eastAsia="仿宋_GB2312"/>
                <w:sz w:val="20"/>
              </w:rPr>
              <w:t>7</w:t>
            </w:r>
            <w:r>
              <w:rPr>
                <w:rFonts w:ascii="仿宋_GB2312" w:hAnsi="仿宋_GB2312" w:cs="仿宋_GB2312" w:eastAsia="仿宋_GB2312"/>
                <w:sz w:val="20"/>
              </w:rPr>
              <w:t>个月预算。</w:t>
            </w:r>
          </w:p>
          <w:p>
            <w:pPr>
              <w:pStyle w:val="null3"/>
              <w:jc w:val="left"/>
            </w:pPr>
            <w:r>
              <w:rPr>
                <w:rFonts w:ascii="仿宋_GB2312" w:hAnsi="仿宋_GB2312" w:cs="仿宋_GB2312" w:eastAsia="仿宋_GB2312"/>
                <w:sz w:val="20"/>
              </w:rPr>
              <w:t>（二）、支付方式</w:t>
            </w:r>
          </w:p>
          <w:p>
            <w:pPr>
              <w:pStyle w:val="null3"/>
              <w:jc w:val="left"/>
            </w:pPr>
            <w:r>
              <w:rPr>
                <w:rFonts w:ascii="仿宋_GB2312" w:hAnsi="仿宋_GB2312" w:cs="仿宋_GB2312" w:eastAsia="仿宋_GB2312"/>
                <w:sz w:val="20"/>
              </w:rPr>
              <w:t>(二)支付方式</w:t>
            </w:r>
          </w:p>
          <w:p>
            <w:pPr>
              <w:pStyle w:val="null3"/>
              <w:jc w:val="left"/>
            </w:pPr>
            <w:r>
              <w:rPr>
                <w:rFonts w:ascii="仿宋_GB2312" w:hAnsi="仿宋_GB2312" w:cs="仿宋_GB2312" w:eastAsia="仿宋_GB2312"/>
                <w:sz w:val="20"/>
              </w:rPr>
              <w:t>(1)按月支付，采购人于每月[5]日前支付服务费。</w:t>
            </w:r>
          </w:p>
          <w:p>
            <w:pPr>
              <w:pStyle w:val="null3"/>
              <w:jc w:val="left"/>
            </w:pPr>
            <w:r>
              <w:rPr>
                <w:rFonts w:ascii="仿宋_GB2312" w:hAnsi="仿宋_GB2312" w:cs="仿宋_GB2312" w:eastAsia="仿宋_GB2312"/>
                <w:sz w:val="20"/>
              </w:rPr>
              <w:t>(2)供应商应在采购人付款前[7]日向采购人提供增值税6%专用发票。采购人收到发票并确认无误后付款。</w:t>
            </w:r>
          </w:p>
          <w:p>
            <w:pPr>
              <w:pStyle w:val="null3"/>
              <w:jc w:val="left"/>
            </w:pPr>
            <w:r>
              <w:rPr>
                <w:rFonts w:ascii="仿宋_GB2312" w:hAnsi="仿宋_GB2312" w:cs="仿宋_GB2312" w:eastAsia="仿宋_GB2312"/>
                <w:sz w:val="20"/>
              </w:rPr>
              <w:t>（三）、额外费用：</w:t>
            </w:r>
          </w:p>
          <w:p>
            <w:pPr>
              <w:pStyle w:val="null3"/>
              <w:jc w:val="left"/>
            </w:pPr>
            <w:r>
              <w:rPr>
                <w:rFonts w:ascii="仿宋_GB2312" w:hAnsi="仿宋_GB2312" w:cs="仿宋_GB2312" w:eastAsia="仿宋_GB2312"/>
                <w:sz w:val="20"/>
              </w:rPr>
              <w:t>合同约定服务范围之外，采购人临时要求供应商提供的额外服务，双方应另行协商确定费用及支付方式，通常以书</w:t>
            </w:r>
          </w:p>
          <w:p>
            <w:pPr>
              <w:pStyle w:val="null3"/>
              <w:jc w:val="both"/>
            </w:pPr>
            <w:r>
              <w:rPr>
                <w:rFonts w:ascii="仿宋_GB2312" w:hAnsi="仿宋_GB2312" w:cs="仿宋_GB2312" w:eastAsia="仿宋_GB2312"/>
                <w:sz w:val="20"/>
              </w:rPr>
              <w:t>面确认为准。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0"/>
              </w:rPr>
              <w:t>(一)服务质量保证与检查验收</w:t>
            </w:r>
          </w:p>
          <w:p>
            <w:pPr>
              <w:pStyle w:val="null3"/>
              <w:jc w:val="left"/>
            </w:pPr>
            <w:r>
              <w:rPr>
                <w:rFonts w:ascii="仿宋_GB2312" w:hAnsi="仿宋_GB2312" w:cs="仿宋_GB2312" w:eastAsia="仿宋_GB2312"/>
                <w:sz w:val="20"/>
              </w:rPr>
              <w:t>1、日常检查</w:t>
            </w:r>
          </w:p>
          <w:p>
            <w:pPr>
              <w:pStyle w:val="null3"/>
              <w:jc w:val="left"/>
            </w:pPr>
            <w:r>
              <w:rPr>
                <w:rFonts w:ascii="仿宋_GB2312" w:hAnsi="仿宋_GB2312" w:cs="仿宋_GB2312" w:eastAsia="仿宋_GB2312"/>
                <w:sz w:val="20"/>
              </w:rPr>
              <w:t>采购人或其授权代表有权随时对供应商服务进行现场检查，记录发现的问题，并向供应商提出整改要求。</w:t>
            </w:r>
          </w:p>
          <w:p>
            <w:pPr>
              <w:pStyle w:val="null3"/>
              <w:jc w:val="left"/>
            </w:pPr>
            <w:r>
              <w:rPr>
                <w:rFonts w:ascii="仿宋_GB2312" w:hAnsi="仿宋_GB2312" w:cs="仿宋_GB2312" w:eastAsia="仿宋_GB2312"/>
                <w:sz w:val="20"/>
              </w:rPr>
              <w:t>2、定期评估</w:t>
            </w:r>
          </w:p>
          <w:p>
            <w:pPr>
              <w:pStyle w:val="null3"/>
              <w:jc w:val="left"/>
            </w:pPr>
            <w:r>
              <w:rPr>
                <w:rFonts w:ascii="仿宋_GB2312" w:hAnsi="仿宋_GB2312" w:cs="仿宋_GB2312" w:eastAsia="仿宋_GB2312"/>
                <w:sz w:val="20"/>
              </w:rPr>
              <w:t>双方可约定每月</w:t>
            </w:r>
            <w:r>
              <w:rPr>
                <w:rFonts w:ascii="仿宋_GB2312" w:hAnsi="仿宋_GB2312" w:cs="仿宋_GB2312" w:eastAsia="仿宋_GB2312"/>
                <w:sz w:val="20"/>
              </w:rPr>
              <w:t>/季度进行一次服务质量评估会议，根据检查记录、采购人反馈等进行综合评分。</w:t>
            </w:r>
          </w:p>
          <w:p>
            <w:pPr>
              <w:pStyle w:val="null3"/>
              <w:jc w:val="left"/>
            </w:pPr>
            <w:r>
              <w:rPr>
                <w:rFonts w:ascii="仿宋_GB2312" w:hAnsi="仿宋_GB2312" w:cs="仿宋_GB2312" w:eastAsia="仿宋_GB2312"/>
                <w:sz w:val="20"/>
              </w:rPr>
              <w:t>3、整改</w:t>
            </w:r>
          </w:p>
          <w:p>
            <w:pPr>
              <w:pStyle w:val="null3"/>
              <w:jc w:val="left"/>
            </w:pPr>
            <w:r>
              <w:rPr>
                <w:rFonts w:ascii="仿宋_GB2312" w:hAnsi="仿宋_GB2312" w:cs="仿宋_GB2312" w:eastAsia="仿宋_GB2312"/>
                <w:sz w:val="20"/>
              </w:rPr>
              <w:t>供应商收到采购人的整改通知后，应在</w:t>
            </w:r>
            <w:r>
              <w:rPr>
                <w:rFonts w:ascii="仿宋_GB2312" w:hAnsi="仿宋_GB2312" w:cs="仿宋_GB2312" w:eastAsia="仿宋_GB2312"/>
                <w:sz w:val="20"/>
              </w:rPr>
              <w:t>[24]小时内</w:t>
            </w:r>
            <w:r>
              <w:rPr>
                <w:rFonts w:ascii="仿宋_GB2312" w:hAnsi="仿宋_GB2312" w:cs="仿宋_GB2312" w:eastAsia="仿宋_GB2312"/>
                <w:sz w:val="20"/>
              </w:rPr>
              <w:t>(或双方约定的合理时限内)到达现场处理，并在[48]小时内完成整改。对于严重不合格或反复出现的问题，采购人有权根据合同约定扣除相应费用或采取其他措施。</w:t>
            </w:r>
          </w:p>
          <w:p>
            <w:pPr>
              <w:pStyle w:val="null3"/>
              <w:jc w:val="left"/>
            </w:pPr>
            <w:r>
              <w:rPr>
                <w:rFonts w:ascii="仿宋_GB2312" w:hAnsi="仿宋_GB2312" w:cs="仿宋_GB2312" w:eastAsia="仿宋_GB2312"/>
                <w:sz w:val="20"/>
              </w:rPr>
              <w:t>(二)、健康、安全与环保</w:t>
            </w:r>
          </w:p>
          <w:p>
            <w:pPr>
              <w:pStyle w:val="null3"/>
              <w:jc w:val="left"/>
            </w:pPr>
            <w:r>
              <w:rPr>
                <w:rFonts w:ascii="仿宋_GB2312" w:hAnsi="仿宋_GB2312" w:cs="仿宋_GB2312" w:eastAsia="仿宋_GB2312"/>
                <w:sz w:val="20"/>
              </w:rPr>
              <w:t>1、供应商必须严格遵守服务场所所在地的安全生产、职业健康和环境保护法律法规。</w:t>
            </w:r>
          </w:p>
          <w:p>
            <w:pPr>
              <w:pStyle w:val="null3"/>
              <w:jc w:val="left"/>
            </w:pPr>
            <w:r>
              <w:rPr>
                <w:rFonts w:ascii="仿宋_GB2312" w:hAnsi="仿宋_GB2312" w:cs="仿宋_GB2312" w:eastAsia="仿宋_GB2312"/>
                <w:sz w:val="20"/>
              </w:rPr>
              <w:t>2、供应商服务人员上岗前应接受必要的安全培训，作业时需穿戴必要的劳动防护用品(如手套、口罩、防滑鞋等)。</w:t>
            </w:r>
          </w:p>
          <w:p>
            <w:pPr>
              <w:pStyle w:val="null3"/>
              <w:jc w:val="left"/>
            </w:pPr>
            <w:r>
              <w:rPr>
                <w:rFonts w:ascii="仿宋_GB2312" w:hAnsi="仿宋_GB2312" w:cs="仿宋_GB2312" w:eastAsia="仿宋_GB2312"/>
                <w:sz w:val="20"/>
              </w:rPr>
              <w:t>3、供应商使用的清洁剂、消毒剂等化学品必须符合国家环保和安全标准，并提供相应的安全数据说明书(MSDS)。禁止使用强酸、强碱等腐蚀性或国家明令禁止的化学品。</w:t>
            </w:r>
          </w:p>
          <w:p>
            <w:pPr>
              <w:pStyle w:val="null3"/>
              <w:jc w:val="left"/>
            </w:pPr>
            <w:r>
              <w:rPr>
                <w:rFonts w:ascii="仿宋_GB2312" w:hAnsi="仿宋_GB2312" w:cs="仿宋_GB2312" w:eastAsia="仿宋_GB2312"/>
                <w:sz w:val="20"/>
              </w:rPr>
              <w:t>4、供应商应妥善处理清洁过程中产生的废水、废弃物，不得随意倾倒，需符合环保要求。</w:t>
            </w:r>
          </w:p>
          <w:p>
            <w:pPr>
              <w:pStyle w:val="null3"/>
              <w:jc w:val="left"/>
            </w:pPr>
            <w:r>
              <w:rPr>
                <w:rFonts w:ascii="仿宋_GB2312" w:hAnsi="仿宋_GB2312" w:cs="仿宋_GB2312" w:eastAsia="仿宋_GB2312"/>
                <w:sz w:val="20"/>
              </w:rPr>
              <w:t>(三)、保密条款</w:t>
            </w:r>
          </w:p>
          <w:p>
            <w:pPr>
              <w:pStyle w:val="null3"/>
              <w:jc w:val="left"/>
            </w:pPr>
            <w:r>
              <w:rPr>
                <w:rFonts w:ascii="仿宋_GB2312" w:hAnsi="仿宋_GB2312" w:cs="仿宋_GB2312" w:eastAsia="仿宋_GB2312"/>
                <w:sz w:val="20"/>
              </w:rPr>
              <w:t>1、供应商及其服务人员应对在履行本合同项目过程中知悉的采购人商业秘密、技术秘密、客户信息及其他未公开信息承担保密义务。</w:t>
            </w:r>
          </w:p>
          <w:p>
            <w:pPr>
              <w:pStyle w:val="null3"/>
              <w:jc w:val="left"/>
            </w:pPr>
            <w:r>
              <w:rPr>
                <w:rFonts w:ascii="仿宋_GB2312" w:hAnsi="仿宋_GB2312" w:cs="仿宋_GB2312" w:eastAsia="仿宋_GB2312"/>
                <w:sz w:val="20"/>
              </w:rPr>
              <w:t>2、未经采购人书面同意，供应商不得向任何第三方披露上述信息，也不得用于本项目目的之外的其他任何用途。</w:t>
            </w:r>
          </w:p>
          <w:p>
            <w:pPr>
              <w:pStyle w:val="null3"/>
              <w:jc w:val="left"/>
            </w:pPr>
            <w:r>
              <w:rPr>
                <w:rFonts w:ascii="仿宋_GB2312" w:hAnsi="仿宋_GB2312" w:cs="仿宋_GB2312" w:eastAsia="仿宋_GB2312"/>
                <w:sz w:val="20"/>
              </w:rPr>
              <w:t>3、本保密义务在本合同有效期内及终止后[5]年内持续有效。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共计人数：10人。其中：司机：6人，保洁：4人。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服务期为7个月，此预算为2026年6月至12月，每月约49000元，共7个月预算。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1.中标单位按照项目需求完成服务后，由用户方组织验收。 2.验收依据： (1) 合同文本； (2) 国家有关的验收标准及规范； (3) 采购文件； (4) 响应文件。 3.其他以采购合同约定为准。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按月支付，达到付款条件起5个工作日内，支付合同总金额的14.29%</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进度款，按月支付，达到付款条件起5个工作日内，支付合同总金额的14.29%</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进度款，按月支付，达到付款条件起5个工作日内，支付合同总金额的14.29%</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进度款，按月支付，达到付款条件起5个工作日内，支付合同总金额的14.29%</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进度款，按月支付，达到付款条件起5个工作日内，支付合同总金额的14.29%</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进度款，按月支付，达到付款条件起5个工作日内，支付合同总金额的14.29%</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进度款，按月支付，达到付款条件起5个工作日内，支付合同总金额的14.26%</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提供纸质版胶装磋商响应文件3套，电子版U盘壹份，封面需加盖公章。应通过专用制作软件直接打印，确保与电子磋商响应文件保持一致，不允许修改和补充。提交地点：陕西省西安市碑林区南关正街88号长安国际中心F座17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响应文件递交截止日前一年内的资信证明；④供应商注册时间至响应文件递交截止日不足一年的，也可提供在工商管理部门备案的公司章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委员会认为投标人报价低于采购预算45%或者低于其他有效投标人报价算术平均价50%，有可能影响工程质量或者不能诚信履约的，磋商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磋商委员会要求的时间内通过项目电子化交易系统进行提交，否则提交的相关证明材料无效。投标人不能证明其投标报价合理性的，磋商委员会应当将其投标文件作为无效处理。</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磋商方案说明书.docx 磋商报价表.docx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针对本项目详细列出服务方案，内容包括： ①服务理念； ②服务计划； ③实施方案。 二、评分标准： 1.完整性:内容须全面，对评审内容中的各项要求有详细描述及说明; 2.可实施性:切合本项目实际情况，实施步骤清晰、合理; 3.针对性:内容能够紧扣项目实际情况，内容科学合理。 三、赋分标准(满分18分) 1.服务理念:每完全满足一个评审标准得2分；内容简单、每基本满足一个评审标准得1分；未提供不得分；满分6分; 2.服务计划:每完全满足一个评审标准得2分；内容简单、每基本满足一个评审标准得1分；未提供不得分；满分6分; 3.实施方案:每完全满足一个评审标准得2分；内容简单、每基本满足一个评审标准得1分；未提供不得分；满分6分。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拟投入本项目的团队人员配置方案</w:t>
            </w:r>
          </w:p>
        </w:tc>
        <w:tc>
          <w:tcPr>
            <w:tcW w:type="dxa" w:w="2492"/>
          </w:tcPr>
          <w:p>
            <w:pPr>
              <w:pStyle w:val="null3"/>
            </w:pPr>
            <w:r>
              <w:rPr>
                <w:rFonts w:ascii="仿宋_GB2312" w:hAnsi="仿宋_GB2312" w:cs="仿宋_GB2312" w:eastAsia="仿宋_GB2312"/>
              </w:rPr>
              <w:t>一、评审内容：针对本项目详细列出拟投入本项目的团队人员配置方案，内容包括： ①人员配置清单； ②人员配备岗位职业； ③人员管理制度。 二、评分标准： 1.完整性:内容须全面，对评审内容中的各项要求有详细描述及说明; 2.可实施性:切合本项目实际情况，实施步骤清晰、合理; 3.针对性:内容能够紧扣项目实际情况，内容科学合理。 三、赋分标准(满分18分) 1.人员配置清单:每完全满足一个评审标准得2分；内容简单、每基本满足一个评审标准得1分；未提供不得分；满分6分; 2.人员配备岗位职业:每完全满足一个评审标准得2分；内容简单、每基本满足一个评审标准得1分；未提供不得分；满分6分; 3.人员管理制度:每完全满足一个评审标准得2分；内容简单、每基本满足一个评审标准得1分；未提供不得分；满分6分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突发应急处置</w:t>
            </w:r>
          </w:p>
        </w:tc>
        <w:tc>
          <w:tcPr>
            <w:tcW w:type="dxa" w:w="2492"/>
          </w:tcPr>
          <w:p>
            <w:pPr>
              <w:pStyle w:val="null3"/>
            </w:pPr>
            <w:r>
              <w:rPr>
                <w:rFonts w:ascii="仿宋_GB2312" w:hAnsi="仿宋_GB2312" w:cs="仿宋_GB2312" w:eastAsia="仿宋_GB2312"/>
              </w:rPr>
              <w:t>一、评审内容：针对本项目详细列出突发应急处置，内容包括： ①突发事件应对措施； ②重大活动、紧急事件及临时性任务； ③重大人事变动； ④其他特殊事件的处理方案；。 二、评分标准： 1.完整性:内容须全面，对评审内容中的各项要求有详细描述及说明; 2.可实施性:切合本项目实际情况，实施步骤清晰、合理; 3.针对性:内容能够紧扣项目实际情况，内容科学合理。 三、赋分标准(满分12分) 1.突发事件应对措施:每完全满足一个评审标准得1分；内容简单、每基本满足一个评审标准得0.5分；未提供不得分；满分3分; 2.重大活动、紧急事件及临时性任务:每完全满足一个评审标准得1分；内容简单、每基本满足一个评审标准得0.5分；未提供不得分；满分3分; 3.重大人事变动:每完全满足一个评审标准得1分；内容简单、每基本满足一个评审标准得0.5分；未提供不得分；满分3分； 4.其他特殊事件的处理方案:每完全满足一个评审标准得1分；内容简单、每基本满足一个评审标准得0.5分；未提供不得分；满分3分；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一、评审内容：针对本项目详细列出突发应急处置，内容包括： ①培训目标； ②培训形式； ③培训内容； ④考试考核。 二、评分标准： 1.完整性:内容须全面，对评审内容中的各项要求有详细描述及说明; 2.可实施性:切合本项目实际情况，实施步骤清晰、合理; 3.针对性:内容能够紧扣项目实际情况，内容科学合理。 三、赋分标准(满分12分) 1.培训目标:每完全满足一个评审标准得1分；内容简单、每基本满足一个评审标准得0.5分；未提供不得分；满分3分; 2.培训形式:每完全满足一个评审标准得1分；内容简单、每基本满足一个评审标准得0.5分；未提供不得分；满分3分; 3培训内容:每完全满足一个评审标准得1分；内容简单、每基本满足一个评审标准得0.5分；未提供不得分；满分3分； 4.考试考核:每完全满足一个评审标准得1分；内容简单、每基本满足一个评审标准得0.5分；未提供不得分；满分3分；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针对劳务纠纷的处理办法及形式</w:t>
            </w:r>
          </w:p>
        </w:tc>
        <w:tc>
          <w:tcPr>
            <w:tcW w:type="dxa" w:w="2492"/>
          </w:tcPr>
          <w:p>
            <w:pPr>
              <w:pStyle w:val="null3"/>
            </w:pPr>
            <w:r>
              <w:rPr>
                <w:rFonts w:ascii="仿宋_GB2312" w:hAnsi="仿宋_GB2312" w:cs="仿宋_GB2312" w:eastAsia="仿宋_GB2312"/>
              </w:rPr>
              <w:t>一、评审内容：针对劳务纠纷的处理办法及形式，内容包括： ①劳务纠纷责任界定与处置流程； ②劳务纠纷协商调解； ③劳务纠纷应对与保障措施。 二、评分标准： 1.完整性:内容须全面，对评审内容中的各项要求有详细描述及说明; 2.可实施性:切合本项目实际情况，实施步骤清晰、合理; 3.针对性:内容能够紧扣项目实际情况，内容科学合理。 三、赋分标准(满分9分) 1.劳务纠纷责任界定与处置流程:每完全满足一个评审标准得1分；内容简单、每基本满足一个评审标准得0.5分；未提供不得分；满分3分; 2.劳务纠纷协商调解:每完全满足一个评审标准得1分；内容简单、每基本满足一个评审标准得0.5分；未提供不得分；满分3分; 3劳务纠纷应对与保障措施:每完全满足一个评审标准得1分；内容简单、每基本满足一个评审标准得0.5分；未提供不得分；满分3分；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①质量标准与过程管控； ②监督考核与问题闭环；③资源保障与能力支撑。 二、评分标准： 1.完整性:内容须全面，对评审内容中的各项要求有详细描述及说明; 2.可实施性:切合本项目实际情况，实施步骤清晰、合理; 3.针对性:内容能够紧扣项目实际情况，内容科学合理。 三、赋分标准(满分9分) 1.质量标准与过程管控:每完全满足一个评审标准得1分；内容简单、每基本满足一个评审标准得0.5分；未提供不得分；满分3分; 2.监督考核与问题闭环:每完全满足一个评审标准得1分；内容简单、每基本满足一个评审标准得0.5分；未提供不得分；满分3分; 3.资源保障与能力支撑:每完全满足一个评审标准得1分；内容简单、每基本满足一个评审标准得0.5分；未提供不得分；满分3分；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针对本项目提供相关服务承诺和服务响应承诺。 ①、承诺内容完整性、可实施性、针对性强，得2分； ②、承诺内容完整性、可实施性、针对性简单，得1分； ③未提供或完全脱离项目实际得0分。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供应商提供2023年01月01日至今（以合同签订日期为准）类似项目的业绩合同，响应文件中附有其合同扫描件等证明文件，每份计2分，满分10分。未提供不得分。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在磋商过程中，磋商委员会认为投标人报价低于采购预算45%或者低于其他有效投标人报价算术平均价50%，有可能影响工程质量或者不能诚信履约的，磋商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磋商委员会要求的时间内通过项目电子化交易系统进行提交，否则提交的相关证明材料无效。投标人不能证明其投标报价合理性的，磋商委员会应当将其投标文件作为无效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2、满足磋商文件实质性要求且最终报价最低的供应商的价格为磋商基准价，其价格分为满分10分。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详见附件：磋商报价表.docx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