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A5A84">
      <w:pPr>
        <w:pStyle w:val="8"/>
        <w:spacing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拟签订的合同条款文本</w:t>
      </w:r>
    </w:p>
    <w:p w14:paraId="6AB6D2CE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 xml:space="preserve">甲方（采购人）： </w:t>
      </w:r>
    </w:p>
    <w:p w14:paraId="0C0C77B7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 xml:space="preserve">乙方（成交供应商）： </w:t>
      </w:r>
    </w:p>
    <w:p w14:paraId="077C89B6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  <w:lang w:eastAsia="zh-CN"/>
        </w:rPr>
        <w:t>教学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  <w:lang w:val="en-US" w:eastAsia="zh-CN"/>
        </w:rPr>
        <w:t>及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  <w:lang w:eastAsia="zh-CN"/>
        </w:rPr>
        <w:t>办公家具采购项目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>(项目编号：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  <w:lang w:eastAsia="zh-CN"/>
        </w:rPr>
        <w:t>SXHC2026-216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>)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，由陕西华采招标有限公司组织竞争性磋商，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(以下简称“甲方”)确定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（以下简称“乙方”）为该项目的成交供应商。</w:t>
      </w:r>
    </w:p>
    <w:p w14:paraId="532B0C93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依据《中华人民共和国民法典》和《中华人民共和国政府采购法》之规定，经双方在平等、自愿、互利的基础上，签订本合同，共同信守。</w:t>
      </w:r>
    </w:p>
    <w:p w14:paraId="32C20CC4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一、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zh-CN"/>
        </w:rPr>
        <w:t>合同标的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物内容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zh-CN"/>
        </w:rPr>
        <w:t>及数量</w:t>
      </w:r>
    </w:p>
    <w:p w14:paraId="19C53B11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zh-CN"/>
        </w:rPr>
        <w:t>乙方向甲方提供下列货物（产品）：</w:t>
      </w:r>
    </w:p>
    <w:tbl>
      <w:tblPr>
        <w:tblStyle w:val="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649"/>
        <w:gridCol w:w="1481"/>
        <w:gridCol w:w="531"/>
        <w:gridCol w:w="717"/>
        <w:gridCol w:w="730"/>
        <w:gridCol w:w="1060"/>
        <w:gridCol w:w="1461"/>
      </w:tblGrid>
      <w:tr w14:paraId="504BF4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center"/>
          </w:tcPr>
          <w:p w14:paraId="4D818E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baseline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649" w:type="dxa"/>
            <w:noWrap w:val="0"/>
            <w:vAlign w:val="center"/>
          </w:tcPr>
          <w:p w14:paraId="55F811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baseline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货物名称</w:t>
            </w:r>
          </w:p>
        </w:tc>
        <w:tc>
          <w:tcPr>
            <w:tcW w:w="1481" w:type="dxa"/>
            <w:noWrap w:val="0"/>
            <w:vAlign w:val="center"/>
          </w:tcPr>
          <w:p w14:paraId="4E36BA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baseline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品牌/型号</w:t>
            </w:r>
          </w:p>
        </w:tc>
        <w:tc>
          <w:tcPr>
            <w:tcW w:w="531" w:type="dxa"/>
            <w:noWrap w:val="0"/>
            <w:vAlign w:val="center"/>
          </w:tcPr>
          <w:p w14:paraId="1EF336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baseline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规格</w:t>
            </w:r>
          </w:p>
        </w:tc>
        <w:tc>
          <w:tcPr>
            <w:tcW w:w="717" w:type="dxa"/>
            <w:noWrap w:val="0"/>
            <w:vAlign w:val="center"/>
          </w:tcPr>
          <w:p w14:paraId="059B75D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baseline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730" w:type="dxa"/>
            <w:noWrap w:val="0"/>
            <w:vAlign w:val="center"/>
          </w:tcPr>
          <w:p w14:paraId="08C08A6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baseline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060" w:type="dxa"/>
            <w:noWrap w:val="0"/>
            <w:vAlign w:val="center"/>
          </w:tcPr>
          <w:p w14:paraId="5C0C6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baseline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单价</w:t>
            </w:r>
          </w:p>
          <w:p w14:paraId="1B0BD8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baseline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1461" w:type="dxa"/>
            <w:noWrap w:val="0"/>
            <w:vAlign w:val="center"/>
          </w:tcPr>
          <w:p w14:paraId="4E86E8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baseline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金额 (元)</w:t>
            </w:r>
          </w:p>
        </w:tc>
      </w:tr>
      <w:tr w14:paraId="44D85E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top"/>
          </w:tcPr>
          <w:p w14:paraId="5B9F6A76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649" w:type="dxa"/>
            <w:noWrap w:val="0"/>
            <w:vAlign w:val="top"/>
          </w:tcPr>
          <w:p w14:paraId="6E0962B1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81" w:type="dxa"/>
            <w:noWrap w:val="0"/>
            <w:vAlign w:val="top"/>
          </w:tcPr>
          <w:p w14:paraId="3AAD1614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531" w:type="dxa"/>
            <w:noWrap w:val="0"/>
            <w:vAlign w:val="top"/>
          </w:tcPr>
          <w:p w14:paraId="0211E0B1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noWrap w:val="0"/>
            <w:vAlign w:val="top"/>
          </w:tcPr>
          <w:p w14:paraId="540AEB3B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noWrap w:val="0"/>
            <w:vAlign w:val="top"/>
          </w:tcPr>
          <w:p w14:paraId="1375FFFC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60" w:type="dxa"/>
            <w:noWrap w:val="0"/>
            <w:vAlign w:val="top"/>
          </w:tcPr>
          <w:p w14:paraId="6D566A6F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61" w:type="dxa"/>
            <w:noWrap w:val="0"/>
            <w:vAlign w:val="top"/>
          </w:tcPr>
          <w:p w14:paraId="36291957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55DB8B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top"/>
          </w:tcPr>
          <w:p w14:paraId="168627BF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649" w:type="dxa"/>
            <w:noWrap w:val="0"/>
            <w:vAlign w:val="top"/>
          </w:tcPr>
          <w:p w14:paraId="618894E5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81" w:type="dxa"/>
            <w:noWrap w:val="0"/>
            <w:vAlign w:val="top"/>
          </w:tcPr>
          <w:p w14:paraId="5A8DAA16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531" w:type="dxa"/>
            <w:noWrap w:val="0"/>
            <w:vAlign w:val="top"/>
          </w:tcPr>
          <w:p w14:paraId="2424A2D6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noWrap w:val="0"/>
            <w:vAlign w:val="top"/>
          </w:tcPr>
          <w:p w14:paraId="66C0C6D4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noWrap w:val="0"/>
            <w:vAlign w:val="top"/>
          </w:tcPr>
          <w:p w14:paraId="6E66E1AB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60" w:type="dxa"/>
            <w:noWrap w:val="0"/>
            <w:vAlign w:val="top"/>
          </w:tcPr>
          <w:p w14:paraId="4F6D12C7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61" w:type="dxa"/>
            <w:noWrap w:val="0"/>
            <w:vAlign w:val="top"/>
          </w:tcPr>
          <w:p w14:paraId="2BEB0394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77DBDA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top"/>
          </w:tcPr>
          <w:p w14:paraId="58147A09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649" w:type="dxa"/>
            <w:noWrap w:val="0"/>
            <w:vAlign w:val="top"/>
          </w:tcPr>
          <w:p w14:paraId="05D73764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81" w:type="dxa"/>
            <w:noWrap w:val="0"/>
            <w:vAlign w:val="top"/>
          </w:tcPr>
          <w:p w14:paraId="6BDC026C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531" w:type="dxa"/>
            <w:noWrap w:val="0"/>
            <w:vAlign w:val="top"/>
          </w:tcPr>
          <w:p w14:paraId="18E5D64D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noWrap w:val="0"/>
            <w:vAlign w:val="top"/>
          </w:tcPr>
          <w:p w14:paraId="18BAAB47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noWrap w:val="0"/>
            <w:vAlign w:val="top"/>
          </w:tcPr>
          <w:p w14:paraId="3F26C47C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60" w:type="dxa"/>
            <w:noWrap w:val="0"/>
            <w:vAlign w:val="top"/>
          </w:tcPr>
          <w:p w14:paraId="59E7A570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61" w:type="dxa"/>
            <w:noWrap w:val="0"/>
            <w:vAlign w:val="top"/>
          </w:tcPr>
          <w:p w14:paraId="319A623A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064397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top"/>
          </w:tcPr>
          <w:p w14:paraId="3635DBA2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649" w:type="dxa"/>
            <w:noWrap w:val="0"/>
            <w:vAlign w:val="top"/>
          </w:tcPr>
          <w:p w14:paraId="2942E237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81" w:type="dxa"/>
            <w:noWrap w:val="0"/>
            <w:vAlign w:val="top"/>
          </w:tcPr>
          <w:p w14:paraId="133FA510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531" w:type="dxa"/>
            <w:noWrap w:val="0"/>
            <w:vAlign w:val="top"/>
          </w:tcPr>
          <w:p w14:paraId="3336A8FA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noWrap w:val="0"/>
            <w:vAlign w:val="top"/>
          </w:tcPr>
          <w:p w14:paraId="0CEA8976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noWrap w:val="0"/>
            <w:vAlign w:val="top"/>
          </w:tcPr>
          <w:p w14:paraId="64B08136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60" w:type="dxa"/>
            <w:noWrap w:val="0"/>
            <w:vAlign w:val="top"/>
          </w:tcPr>
          <w:p w14:paraId="5687A3EE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61" w:type="dxa"/>
            <w:noWrap w:val="0"/>
            <w:vAlign w:val="top"/>
          </w:tcPr>
          <w:p w14:paraId="3034B512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2C733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top"/>
          </w:tcPr>
          <w:p w14:paraId="5621E76E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649" w:type="dxa"/>
            <w:noWrap w:val="0"/>
            <w:vAlign w:val="top"/>
          </w:tcPr>
          <w:p w14:paraId="2A5A4C9A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81" w:type="dxa"/>
            <w:noWrap w:val="0"/>
            <w:vAlign w:val="top"/>
          </w:tcPr>
          <w:p w14:paraId="0A123191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531" w:type="dxa"/>
            <w:noWrap w:val="0"/>
            <w:vAlign w:val="top"/>
          </w:tcPr>
          <w:p w14:paraId="3745B1D6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noWrap w:val="0"/>
            <w:vAlign w:val="top"/>
          </w:tcPr>
          <w:p w14:paraId="56E587FD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noWrap w:val="0"/>
            <w:vAlign w:val="top"/>
          </w:tcPr>
          <w:p w14:paraId="206A33F5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60" w:type="dxa"/>
            <w:noWrap w:val="0"/>
            <w:vAlign w:val="top"/>
          </w:tcPr>
          <w:p w14:paraId="3AF393AC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61" w:type="dxa"/>
            <w:noWrap w:val="0"/>
            <w:vAlign w:val="top"/>
          </w:tcPr>
          <w:p w14:paraId="0EF25680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3FDFA6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top"/>
          </w:tcPr>
          <w:p w14:paraId="3EAE24B2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649" w:type="dxa"/>
            <w:noWrap w:val="0"/>
            <w:vAlign w:val="top"/>
          </w:tcPr>
          <w:p w14:paraId="2A6F62ED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81" w:type="dxa"/>
            <w:noWrap w:val="0"/>
            <w:vAlign w:val="top"/>
          </w:tcPr>
          <w:p w14:paraId="1205E434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531" w:type="dxa"/>
            <w:noWrap w:val="0"/>
            <w:vAlign w:val="top"/>
          </w:tcPr>
          <w:p w14:paraId="5B2B83CE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noWrap w:val="0"/>
            <w:vAlign w:val="top"/>
          </w:tcPr>
          <w:p w14:paraId="7060CFA5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noWrap w:val="0"/>
            <w:vAlign w:val="top"/>
          </w:tcPr>
          <w:p w14:paraId="77394648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60" w:type="dxa"/>
            <w:noWrap w:val="0"/>
            <w:vAlign w:val="top"/>
          </w:tcPr>
          <w:p w14:paraId="59704D0D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61" w:type="dxa"/>
            <w:noWrap w:val="0"/>
            <w:vAlign w:val="top"/>
          </w:tcPr>
          <w:p w14:paraId="68F7323F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395E99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noWrap w:val="0"/>
            <w:vAlign w:val="top"/>
          </w:tcPr>
          <w:p w14:paraId="3E4EF52D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1649" w:type="dxa"/>
            <w:noWrap w:val="0"/>
            <w:vAlign w:val="top"/>
          </w:tcPr>
          <w:p w14:paraId="76A76CCD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81" w:type="dxa"/>
            <w:noWrap w:val="0"/>
            <w:vAlign w:val="top"/>
          </w:tcPr>
          <w:p w14:paraId="7B3E3B6D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531" w:type="dxa"/>
            <w:noWrap w:val="0"/>
            <w:vAlign w:val="top"/>
          </w:tcPr>
          <w:p w14:paraId="48DBB3A1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17" w:type="dxa"/>
            <w:noWrap w:val="0"/>
            <w:vAlign w:val="top"/>
          </w:tcPr>
          <w:p w14:paraId="2B8357CA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noWrap w:val="0"/>
            <w:vAlign w:val="top"/>
          </w:tcPr>
          <w:p w14:paraId="0F794EA1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060" w:type="dxa"/>
            <w:noWrap w:val="0"/>
            <w:vAlign w:val="top"/>
          </w:tcPr>
          <w:p w14:paraId="0D60A034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  <w:tc>
          <w:tcPr>
            <w:tcW w:w="1461" w:type="dxa"/>
            <w:noWrap w:val="0"/>
            <w:vAlign w:val="top"/>
          </w:tcPr>
          <w:p w14:paraId="4EBA1AD8">
            <w:pPr>
              <w:keepNext w:val="0"/>
              <w:keepLines w:val="0"/>
              <w:pageBreakBefore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</w:p>
        </w:tc>
      </w:tr>
      <w:tr w14:paraId="27F4C0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2465" w:type="dxa"/>
            <w:gridSpan w:val="2"/>
            <w:noWrap w:val="0"/>
            <w:vAlign w:val="center"/>
          </w:tcPr>
          <w:p w14:paraId="477E37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baseline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3459" w:type="dxa"/>
            <w:gridSpan w:val="4"/>
            <w:noWrap w:val="0"/>
            <w:vAlign w:val="center"/>
          </w:tcPr>
          <w:p w14:paraId="338075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baseline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</w:rPr>
              <w:t>大写</w:t>
            </w:r>
          </w:p>
        </w:tc>
        <w:tc>
          <w:tcPr>
            <w:tcW w:w="2521" w:type="dxa"/>
            <w:gridSpan w:val="2"/>
            <w:noWrap w:val="0"/>
            <w:vAlign w:val="center"/>
          </w:tcPr>
          <w:p w14:paraId="5ED87EC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0" w:firstLineChars="0"/>
              <w:jc w:val="left"/>
              <w:textAlignment w:val="baseline"/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0"/>
                <w:szCs w:val="20"/>
                <w:highlight w:val="none"/>
                <w:lang w:val="en-US" w:eastAsia="zh-CN"/>
              </w:rPr>
              <w:t>¥</w:t>
            </w:r>
          </w:p>
        </w:tc>
      </w:tr>
    </w:tbl>
    <w:p w14:paraId="3093C537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二、合同价款</w:t>
      </w:r>
    </w:p>
    <w:p w14:paraId="2405BF30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（一）合同价款（最终磋商报价）为人民币（大写）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¥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 xml:space="preserve"> ）。</w:t>
      </w:r>
    </w:p>
    <w:p w14:paraId="17275838">
      <w:pPr>
        <w:keepNext w:val="0"/>
        <w:keepLines w:val="0"/>
        <w:pageBreakBefore w:val="0"/>
        <w:shd w:val="clear" w:color="auto" w:fill="auto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（二）合同价款包括但不限于运输费、装卸费、仓储费、保险费及售后等费用。</w:t>
      </w:r>
    </w:p>
    <w:p w14:paraId="5BAA5FC5">
      <w:pPr>
        <w:keepNext w:val="0"/>
        <w:keepLines w:val="0"/>
        <w:pageBreakBefore w:val="0"/>
        <w:shd w:val="clear" w:color="auto" w:fill="auto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（三）合同价款一次性包死，不受市场价格变化因素的影响。</w:t>
      </w:r>
    </w:p>
    <w:p w14:paraId="08566253">
      <w:pPr>
        <w:keepNext w:val="0"/>
        <w:keepLines w:val="0"/>
        <w:pageBreakBefore w:val="0"/>
        <w:shd w:val="clear" w:color="auto" w:fill="auto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三、款项结算</w:t>
      </w:r>
    </w:p>
    <w:p w14:paraId="20F52372">
      <w:pPr>
        <w:keepNext w:val="0"/>
        <w:keepLines w:val="0"/>
        <w:pageBreakBefore w:val="0"/>
        <w:shd w:val="clear" w:color="auto" w:fill="auto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（一）付款比例：</w:t>
      </w:r>
      <w:r>
        <w:rPr>
          <w:rFonts w:hint="eastAsia" w:ascii="仿宋" w:hAnsi="仿宋" w:eastAsia="仿宋" w:cs="仿宋"/>
          <w:highlight w:val="none"/>
        </w:rPr>
        <w:t>付款条件说明：合同生效供货完成并验收通过后，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达到付款条件起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10个工作日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内，支付合同总金额的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100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.00%。</w:t>
      </w:r>
    </w:p>
    <w:p w14:paraId="6BAA7F91">
      <w:pPr>
        <w:keepNext w:val="0"/>
        <w:keepLines w:val="0"/>
        <w:pageBreakBefore w:val="0"/>
        <w:shd w:val="clear" w:color="auto" w:fill="auto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（二）支付方式：银行转账。</w:t>
      </w:r>
    </w:p>
    <w:p w14:paraId="3EB5161C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（三）结算方式：乙方接受甲方付款前，开具等额发票给甲方。</w:t>
      </w:r>
    </w:p>
    <w:p w14:paraId="3D29E119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四、双方的权利和义务</w:t>
      </w:r>
    </w:p>
    <w:p w14:paraId="4125D0D0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（一）甲方的权利与义务</w:t>
      </w:r>
    </w:p>
    <w:p w14:paraId="2E5EB173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1、甲方根据磋商文件的要求对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产品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进行验收。</w:t>
      </w:r>
    </w:p>
    <w:p w14:paraId="7125CC12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2、甲方应按合同约定及时结付服务费用。</w:t>
      </w:r>
    </w:p>
    <w:p w14:paraId="1C7951F6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（二）乙方的权利与义务</w:t>
      </w:r>
    </w:p>
    <w:p w14:paraId="34F817C9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1、乙方根据磋商要求，确保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产品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如期保质保量交付。</w:t>
      </w:r>
    </w:p>
    <w:p w14:paraId="289D11EB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2、乙方确保所供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产品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供货渠道正规、产地及制造商明确，产品销售记录可追溯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。</w:t>
      </w:r>
    </w:p>
    <w:p w14:paraId="3FD69AF8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3、乙方根据磋商要求提供运输车辆及运输人员。</w:t>
      </w:r>
    </w:p>
    <w:p w14:paraId="192F4541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4、乙方应保证因供货不善而产生的所有风险，并自行承担由此导致的所有法律责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任。</w:t>
      </w:r>
    </w:p>
    <w:p w14:paraId="73E2C6B4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五、交货条件</w:t>
      </w:r>
    </w:p>
    <w:p w14:paraId="74AEC6A9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（一）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交货期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自合同签订之日起20日内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，并经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验收合格进行交付。</w:t>
      </w:r>
    </w:p>
    <w:p w14:paraId="242C9ACA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）交付地点：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高新区区域内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。</w:t>
      </w:r>
    </w:p>
    <w:p w14:paraId="19DB861E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default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质保期：3年。</w:t>
      </w:r>
    </w:p>
    <w:p w14:paraId="34425AAD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六、包装和运输</w:t>
      </w:r>
    </w:p>
    <w:p w14:paraId="65D720F0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(一)产品及其备附件的包装应附有出厂合格证明及其他相关资料。</w:t>
      </w:r>
    </w:p>
    <w:p w14:paraId="6B342C65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(二)运输由乙方负责，运杂费已包含在合同价款内。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包括从货物供应地点送至交货地点所含的运输费、装卸费、仓储费、保险费等。</w:t>
      </w:r>
    </w:p>
    <w:p w14:paraId="1E978CE2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(三)产品及其备附件到达甲方指定地点后，乙方应按有关技术规程和甲方要求进存放和保管。</w:t>
      </w:r>
    </w:p>
    <w:p w14:paraId="3831E070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七、质量验收标准或规范</w:t>
      </w:r>
    </w:p>
    <w:p w14:paraId="7DD2CB3E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合格，符合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要求。</w:t>
      </w:r>
    </w:p>
    <w:p w14:paraId="79487431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、验收</w:t>
      </w:r>
    </w:p>
    <w:p w14:paraId="68B1D6B5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（一）本项目验收费用，由乙方自行承担。</w:t>
      </w:r>
    </w:p>
    <w:p w14:paraId="1118FCC4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（二）货物到达甲方指定地点后，甲方根据合同要求，进行验收，确认产地、规格数量。</w:t>
      </w:r>
    </w:p>
    <w:p w14:paraId="695E966B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）验收依据：</w:t>
      </w:r>
    </w:p>
    <w:p w14:paraId="6699B29F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1、本合同及附加文本；</w:t>
      </w:r>
    </w:p>
    <w:p w14:paraId="72857AF4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2、磋商文件、成交供应商的响应文件及澄清（承诺）函；</w:t>
      </w:r>
    </w:p>
    <w:p w14:paraId="4E533B61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3、国家相应的标准、规范。</w:t>
      </w:r>
    </w:p>
    <w:p w14:paraId="49A63802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val="en-US" w:eastAsia="zh-CN"/>
        </w:rPr>
        <w:t>九、技术与服务</w:t>
      </w:r>
    </w:p>
    <w:p w14:paraId="38F7C0E7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（一）技术资料</w:t>
      </w:r>
    </w:p>
    <w:p w14:paraId="35A687D3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1、质量合格证；</w:t>
      </w:r>
    </w:p>
    <w:p w14:paraId="1CDD9245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2、产品检测报告；</w:t>
      </w:r>
    </w:p>
    <w:p w14:paraId="7679FC68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3、使用说明；</w:t>
      </w:r>
    </w:p>
    <w:p w14:paraId="0BC516CC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4、其他资料。</w:t>
      </w:r>
    </w:p>
    <w:p w14:paraId="0EA9B61C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（二）服务承诺</w:t>
      </w:r>
    </w:p>
    <w:p w14:paraId="180B0C3D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以响应文件、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澄清（承诺）函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合同和货物的相关文件为准。</w:t>
      </w:r>
    </w:p>
    <w:p w14:paraId="5A9FE02E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  <w:lang w:val="en-US" w:eastAsia="zh-CN"/>
        </w:rPr>
        <w:t>十</w:t>
      </w:r>
      <w:r>
        <w:rPr>
          <w:rFonts w:hint="eastAsia" w:ascii="仿宋" w:hAnsi="仿宋" w:eastAsia="仿宋" w:cs="仿宋"/>
          <w:b/>
          <w:bCs w:val="0"/>
          <w:sz w:val="20"/>
          <w:szCs w:val="20"/>
          <w:highlight w:val="none"/>
        </w:rPr>
        <w:t>、违约责任</w:t>
      </w:r>
    </w:p>
    <w:p w14:paraId="2F7C210B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（一）按《中华人民共和国民法典》中的相关条款执行。</w:t>
      </w:r>
    </w:p>
    <w:p w14:paraId="189BBDA6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（二）每次供货，若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由于非不可抗力原因导致无法按时配送到位，每迟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延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1天，应按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迟延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交付货物价款的千分之五向甲方支付违约金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甲方可直接从未付货款中扣除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。逾期超过15日，甲方有权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单方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解除合同，并要求乙方承担合同总价20%的违约责任并赔偿全部损失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。</w:t>
      </w:r>
    </w:p>
    <w:p w14:paraId="75A6D693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三）按合同要求提供产品或产品质量不能满足采购技术要求，乙方必须无条件更换产品，提高技术，完善质量，否则，甲方会同监督机构、采购代理机构有权终止合同并对乙方违约行为进行追究，同时按政府采购供应商管理办法进行相应的处罚。</w:t>
      </w:r>
    </w:p>
    <w:p w14:paraId="4BDFD4FD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（四）任何一方因不可抗力原因不能履行协议时，应尽快通知对方，双方均设法补偿。如仍无法履约协议，可协商延缓或撤销协议，双方责任免除。</w:t>
      </w:r>
    </w:p>
    <w:p w14:paraId="40C51441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十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、合同争议解决的方式</w:t>
      </w:r>
    </w:p>
    <w:p w14:paraId="1350BA76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（一）本合同在履行过程中发生的争议，由甲、乙双方当事人协商解决，协商不成的按下列第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2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种方式解决：</w:t>
      </w:r>
    </w:p>
    <w:p w14:paraId="76732C89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1、提交甲方所在地仲裁委员会仲裁；</w:t>
      </w:r>
    </w:p>
    <w:p w14:paraId="42A57E21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2、依法向甲方所在地人民法院起诉。</w:t>
      </w:r>
    </w:p>
    <w:p w14:paraId="6C6FD41E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（二）因质量问题发生的争议，由国家权威技术单位进行质量鉴定，该鉴定结论为最终结果，甲乙双方应当接受。</w:t>
      </w:r>
    </w:p>
    <w:p w14:paraId="052A848D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left"/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十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、合同生效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与送达</w:t>
      </w:r>
    </w:p>
    <w:p w14:paraId="4EF47EF5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（一）本合同须经甲、乙双方的法定代表人（授权代理人）在合同书上签字并加盖本单位公章后正式生效。</w:t>
      </w:r>
    </w:p>
    <w:p w14:paraId="3D62B8DB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（二）合同生效后，甲、乙双方须严格执行本合同条款的规定，全面履行合同，违者按《中华人民共和国民法典》的有关规定承担相应责任。</w:t>
      </w:r>
    </w:p>
    <w:p w14:paraId="11F68BDA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（三）本合同一式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份，甲乙双方各执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份。</w:t>
      </w:r>
    </w:p>
    <w:p w14:paraId="16473B23">
      <w:pPr>
        <w:pStyle w:val="14"/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napToGrid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Cs/>
          <w:snapToGrid w:val="0"/>
          <w:sz w:val="20"/>
          <w:szCs w:val="20"/>
          <w:highlight w:val="none"/>
          <w:lang w:eastAsia="en-US"/>
        </w:rPr>
        <w:t>（四）本合同如有未尽事宜，甲、乙双方协商解决。</w:t>
      </w:r>
    </w:p>
    <w:p w14:paraId="31D3BC4F">
      <w:pPr>
        <w:pStyle w:val="14"/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00" w:firstLineChars="200"/>
        <w:jc w:val="left"/>
        <w:rPr>
          <w:rFonts w:hint="eastAsia" w:ascii="仿宋" w:hAnsi="仿宋" w:eastAsia="仿宋" w:cs="仿宋"/>
          <w:bCs/>
          <w:snapToGrid w:val="0"/>
          <w:sz w:val="20"/>
          <w:szCs w:val="20"/>
          <w:highlight w:val="none"/>
          <w:lang w:val="en-US" w:eastAsia="en-US"/>
        </w:rPr>
      </w:pPr>
      <w:r>
        <w:rPr>
          <w:rFonts w:hint="eastAsia" w:ascii="仿宋" w:hAnsi="仿宋" w:eastAsia="仿宋" w:cs="仿宋"/>
          <w:bCs/>
          <w:snapToGrid w:val="0"/>
          <w:sz w:val="20"/>
          <w:szCs w:val="20"/>
          <w:highlight w:val="none"/>
          <w:lang w:eastAsia="en-US"/>
        </w:rPr>
        <w:t>（</w:t>
      </w:r>
      <w:r>
        <w:rPr>
          <w:rFonts w:hint="eastAsia" w:ascii="仿宋" w:hAnsi="仿宋" w:eastAsia="仿宋" w:cs="仿宋"/>
          <w:bCs/>
          <w:snapToGrid w:val="0"/>
          <w:sz w:val="20"/>
          <w:szCs w:val="20"/>
          <w:highlight w:val="none"/>
          <w:lang w:val="en-US" w:eastAsia="en-US"/>
        </w:rPr>
        <w:t>五</w:t>
      </w:r>
      <w:r>
        <w:rPr>
          <w:rFonts w:hint="eastAsia" w:ascii="仿宋" w:hAnsi="仿宋" w:eastAsia="仿宋" w:cs="仿宋"/>
          <w:bCs/>
          <w:snapToGrid w:val="0"/>
          <w:sz w:val="20"/>
          <w:szCs w:val="20"/>
          <w:highlight w:val="none"/>
          <w:lang w:eastAsia="en-US"/>
        </w:rPr>
        <w:t>）</w:t>
      </w:r>
      <w:r>
        <w:rPr>
          <w:rFonts w:hint="eastAsia" w:ascii="仿宋" w:hAnsi="仿宋" w:eastAsia="仿宋" w:cs="仿宋"/>
          <w:bCs/>
          <w:snapToGrid w:val="0"/>
          <w:sz w:val="20"/>
          <w:szCs w:val="20"/>
          <w:highlight w:val="none"/>
          <w:lang w:val="en-US" w:eastAsia="en-US"/>
        </w:rPr>
        <w:t>甲乙双方确认本方的送达地址为合同落款处记载的地址，任何与本合同有关的通知、函件、法律文书按该地址寄送即视为有效送达；变更送达地址应当提前3日书面通知对方，否则按原地址寄送仍视为有效送达。</w:t>
      </w:r>
    </w:p>
    <w:p w14:paraId="14726748">
      <w:pPr>
        <w:keepNext w:val="0"/>
        <w:keepLines w:val="0"/>
        <w:pageBreakBefore w:val="0"/>
        <w:wordWrap/>
        <w:overflowPunct/>
        <w:topLinePunct w:val="0"/>
        <w:autoSpaceDE w:val="0"/>
        <w:autoSpaceDN w:val="0"/>
        <w:bidi w:val="0"/>
        <w:adjustRightInd w:val="0"/>
        <w:ind w:firstLine="400" w:firstLineChars="200"/>
        <w:jc w:val="left"/>
        <w:rPr>
          <w:rFonts w:hint="eastAsia" w:ascii="仿宋" w:hAnsi="仿宋" w:eastAsia="仿宋" w:cs="仿宋"/>
          <w:bCs/>
          <w:snapToGrid w:val="0"/>
          <w:sz w:val="20"/>
          <w:szCs w:val="20"/>
          <w:highlight w:val="none"/>
          <w:lang w:val="en-US" w:eastAsia="en-US"/>
        </w:rPr>
      </w:pPr>
      <w:r>
        <w:rPr>
          <w:rFonts w:hint="eastAsia" w:ascii="仿宋" w:hAnsi="仿宋" w:eastAsia="仿宋" w:cs="仿宋"/>
          <w:bCs/>
          <w:snapToGrid w:val="0"/>
          <w:sz w:val="20"/>
          <w:szCs w:val="20"/>
          <w:highlight w:val="none"/>
          <w:lang w:val="en-US" w:eastAsia="en-US"/>
        </w:rPr>
        <w:br w:type="page"/>
      </w:r>
    </w:p>
    <w:p w14:paraId="2693B644">
      <w:pPr>
        <w:pStyle w:val="14"/>
        <w:spacing w:line="360" w:lineRule="auto"/>
        <w:ind w:firstLine="400" w:firstLineChars="200"/>
        <w:rPr>
          <w:rFonts w:hint="eastAsia" w:ascii="仿宋" w:hAnsi="仿宋" w:eastAsia="仿宋" w:cs="仿宋"/>
          <w:bCs/>
          <w:snapToGrid w:val="0"/>
          <w:sz w:val="20"/>
          <w:szCs w:val="20"/>
          <w:highlight w:val="none"/>
          <w:lang w:val="en-US" w:eastAsia="en-US"/>
        </w:rPr>
      </w:pPr>
    </w:p>
    <w:tbl>
      <w:tblPr>
        <w:tblStyle w:val="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1"/>
        <w:gridCol w:w="4202"/>
      </w:tblGrid>
      <w:tr w14:paraId="702CB1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1054E37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甲  方</w:t>
            </w:r>
          </w:p>
        </w:tc>
        <w:tc>
          <w:tcPr>
            <w:tcW w:w="4202" w:type="dxa"/>
            <w:noWrap w:val="0"/>
            <w:vAlign w:val="center"/>
          </w:tcPr>
          <w:p w14:paraId="7DA752F6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乙  方</w:t>
            </w:r>
          </w:p>
        </w:tc>
      </w:tr>
      <w:tr w14:paraId="7B136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90FFBE5">
            <w:pPr>
              <w:autoSpaceDE w:val="0"/>
              <w:autoSpaceDN w:val="0"/>
              <w:adjustRightInd w:val="0"/>
              <w:spacing w:line="360" w:lineRule="auto"/>
              <w:ind w:firstLine="560" w:firstLineChars="35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（盖章）</w:t>
            </w:r>
          </w:p>
        </w:tc>
        <w:tc>
          <w:tcPr>
            <w:tcW w:w="4202" w:type="dxa"/>
            <w:noWrap w:val="0"/>
            <w:vAlign w:val="center"/>
          </w:tcPr>
          <w:p w14:paraId="09B5C120">
            <w:pPr>
              <w:autoSpaceDE w:val="0"/>
              <w:autoSpaceDN w:val="0"/>
              <w:adjustRightInd w:val="0"/>
              <w:spacing w:line="360" w:lineRule="auto"/>
              <w:ind w:firstLine="640" w:firstLineChars="40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（盖章）</w:t>
            </w:r>
          </w:p>
        </w:tc>
      </w:tr>
      <w:tr w14:paraId="5D84B7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B28BB4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 xml:space="preserve">地址： </w:t>
            </w:r>
          </w:p>
        </w:tc>
        <w:tc>
          <w:tcPr>
            <w:tcW w:w="4202" w:type="dxa"/>
            <w:noWrap w:val="0"/>
            <w:vAlign w:val="center"/>
          </w:tcPr>
          <w:p w14:paraId="4B8ED4DA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地址：</w:t>
            </w:r>
          </w:p>
        </w:tc>
      </w:tr>
      <w:tr w14:paraId="0E280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C24BCAF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 xml:space="preserve">法定代表人： </w:t>
            </w:r>
          </w:p>
        </w:tc>
        <w:tc>
          <w:tcPr>
            <w:tcW w:w="4202" w:type="dxa"/>
            <w:noWrap w:val="0"/>
            <w:vAlign w:val="center"/>
          </w:tcPr>
          <w:p w14:paraId="7F70AE6B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法定代表人：</w:t>
            </w:r>
          </w:p>
        </w:tc>
      </w:tr>
      <w:tr w14:paraId="33016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539C3490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被授权代表：</w:t>
            </w:r>
          </w:p>
        </w:tc>
        <w:tc>
          <w:tcPr>
            <w:tcW w:w="4202" w:type="dxa"/>
            <w:noWrap w:val="0"/>
            <w:vAlign w:val="center"/>
          </w:tcPr>
          <w:p w14:paraId="54DE58BB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被授权代表：</w:t>
            </w:r>
          </w:p>
        </w:tc>
      </w:tr>
      <w:tr w14:paraId="354726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0AD5BEE4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电话：</w:t>
            </w:r>
          </w:p>
        </w:tc>
        <w:tc>
          <w:tcPr>
            <w:tcW w:w="4202" w:type="dxa"/>
            <w:noWrap w:val="0"/>
            <w:vAlign w:val="center"/>
          </w:tcPr>
          <w:p w14:paraId="17E38526">
            <w:pPr>
              <w:autoSpaceDE w:val="0"/>
              <w:autoSpaceDN w:val="0"/>
              <w:adjustRightInd w:val="0"/>
              <w:spacing w:line="360" w:lineRule="auto"/>
              <w:ind w:left="720" w:hanging="480" w:hangingChars="300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电话：</w:t>
            </w:r>
          </w:p>
        </w:tc>
      </w:tr>
      <w:tr w14:paraId="4BD27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3643011C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传真：</w:t>
            </w:r>
          </w:p>
        </w:tc>
        <w:tc>
          <w:tcPr>
            <w:tcW w:w="4202" w:type="dxa"/>
            <w:noWrap w:val="0"/>
            <w:vAlign w:val="center"/>
          </w:tcPr>
          <w:p w14:paraId="78FA567C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传真：</w:t>
            </w:r>
          </w:p>
        </w:tc>
      </w:tr>
      <w:tr w14:paraId="497C0E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14586EDE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开户银行：</w:t>
            </w:r>
          </w:p>
        </w:tc>
        <w:tc>
          <w:tcPr>
            <w:tcW w:w="4202" w:type="dxa"/>
            <w:noWrap w:val="0"/>
            <w:vAlign w:val="center"/>
          </w:tcPr>
          <w:p w14:paraId="2E03DD82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开户银行：</w:t>
            </w:r>
          </w:p>
        </w:tc>
      </w:tr>
      <w:tr w14:paraId="16D727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01" w:type="dxa"/>
            <w:noWrap w:val="0"/>
            <w:vAlign w:val="center"/>
          </w:tcPr>
          <w:p w14:paraId="6383C6FB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日期：</w:t>
            </w:r>
          </w:p>
        </w:tc>
        <w:tc>
          <w:tcPr>
            <w:tcW w:w="4202" w:type="dxa"/>
            <w:noWrap w:val="0"/>
            <w:vAlign w:val="center"/>
          </w:tcPr>
          <w:p w14:paraId="12ADB74E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20"/>
                <w:szCs w:val="20"/>
                <w:highlight w:val="none"/>
              </w:rPr>
              <w:t>日期：</w:t>
            </w:r>
          </w:p>
        </w:tc>
      </w:tr>
    </w:tbl>
    <w:p w14:paraId="059DBB59">
      <w:pPr>
        <w:pStyle w:val="15"/>
        <w:spacing w:line="360" w:lineRule="auto"/>
        <w:rPr>
          <w:rFonts w:hint="eastAsia" w:ascii="仿宋" w:hAnsi="仿宋" w:eastAsia="仿宋" w:cs="仿宋"/>
          <w:highlight w:val="none"/>
          <w:lang w:val="en-US" w:eastAsia="zh-Hans"/>
        </w:rPr>
      </w:pPr>
      <w:r>
        <w:rPr>
          <w:rFonts w:hint="eastAsia" w:ascii="仿宋" w:hAnsi="仿宋" w:eastAsia="仿宋" w:cs="仿宋"/>
          <w:highlight w:val="none"/>
        </w:rPr>
        <w:br w:type="textWrapping"/>
      </w:r>
    </w:p>
    <w:p w14:paraId="014E1A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黑简">
    <w:altName w:val="黑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40A3E2E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3FF557A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08C681F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2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3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  <w:style w:type="paragraph" w:customStyle="1" w:styleId="1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汉仪中黑简" w:hAnsi="Times New Roman" w:eastAsia="汉仪中黑简" w:cs="汉仪中黑简"/>
      <w:color w:val="000000"/>
      <w:sz w:val="24"/>
      <w:szCs w:val="24"/>
      <w:lang w:val="en-US" w:eastAsia="zh-CN" w:bidi="ar-SA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1823</Words>
  <Characters>1848</Characters>
  <Lines>0</Lines>
  <Paragraphs>0</Paragraphs>
  <TotalTime>0</TotalTime>
  <ScaleCrop>false</ScaleCrop>
  <LinksUpToDate>false</LinksUpToDate>
  <CharactersWithSpaces>1903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2026-08-25T08:23:41Z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