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lang w:eastAsia="zh-CN"/>
          <w14:textFill>
            <w14:solidFill>
              <w14:schemeClr w14:val="tx1"/>
            </w14:solidFill>
          </w14:textFill>
        </w:rPr>
        <w:t>FX-AK-2026-03</w:t>
      </w:r>
    </w:p>
    <w:p w14:paraId="220D92AB">
      <w:pPr>
        <w:pStyle w:val="11"/>
        <w:rPr>
          <w:rFonts w:ascii="宋体"/>
          <w:color w:val="auto"/>
          <w:sz w:val="32"/>
          <w:szCs w:val="32"/>
        </w:rPr>
      </w:pPr>
    </w:p>
    <w:p w14:paraId="4708D9A8">
      <w:pPr>
        <w:pStyle w:val="11"/>
      </w:pPr>
    </w:p>
    <w:p w14:paraId="6FF1B2C4">
      <w:pPr>
        <w:tabs>
          <w:tab w:val="left" w:pos="2070"/>
          <w:tab w:val="center" w:pos="4365"/>
        </w:tabs>
        <w:snapToGrid w:val="0"/>
        <w:spacing w:line="360" w:lineRule="auto"/>
        <w:jc w:val="center"/>
        <w:rPr>
          <w:rFonts w:hint="eastAsia" w:ascii="宋体" w:hAnsi="宋体" w:cs="宋体"/>
          <w:b/>
          <w:bCs/>
          <w:color w:val="auto"/>
          <w:sz w:val="56"/>
          <w:szCs w:val="56"/>
        </w:rPr>
      </w:pPr>
      <w:r>
        <w:rPr>
          <w:rFonts w:hint="eastAsia" w:ascii="宋体" w:hAnsi="宋体" w:cs="宋体"/>
          <w:b/>
          <w:bCs/>
          <w:color w:val="000000" w:themeColor="text1"/>
          <w:sz w:val="44"/>
          <w:szCs w:val="44"/>
          <w:lang w:eastAsia="zh-CN"/>
          <w14:textFill>
            <w14:solidFill>
              <w14:schemeClr w14:val="tx1"/>
            </w14:solidFill>
          </w14:textFill>
        </w:rPr>
        <w:t>镇坪县永久基本农田调整补划方案编制技术服务项目</w:t>
      </w:r>
    </w:p>
    <w:p w14:paraId="4B7FD271">
      <w:pPr>
        <w:tabs>
          <w:tab w:val="left" w:pos="2070"/>
          <w:tab w:val="center" w:pos="4365"/>
        </w:tabs>
        <w:snapToGrid w:val="0"/>
        <w:spacing w:line="360" w:lineRule="auto"/>
        <w:jc w:val="center"/>
        <w:rPr>
          <w:rFonts w:hint="eastAsia" w:ascii="宋体" w:hAnsi="宋体" w:cs="宋体"/>
          <w:b/>
          <w:bCs/>
          <w:color w:val="auto"/>
          <w:sz w:val="56"/>
          <w:szCs w:val="56"/>
        </w:rPr>
      </w:pPr>
      <w:bookmarkStart w:id="0" w:name="OLE_LINK2"/>
    </w:p>
    <w:p w14:paraId="0B34A070">
      <w:pPr>
        <w:tabs>
          <w:tab w:val="left" w:pos="2070"/>
          <w:tab w:val="center" w:pos="4365"/>
        </w:tabs>
        <w:snapToGrid w:val="0"/>
        <w:spacing w:line="360" w:lineRule="auto"/>
        <w:jc w:val="center"/>
        <w:rPr>
          <w:rFonts w:hint="eastAsia" w:ascii="宋体" w:hAnsi="宋体" w:eastAsia="宋体" w:cs="宋体"/>
          <w:b/>
          <w:bCs/>
          <w:color w:val="000000" w:themeColor="text1"/>
          <w:sz w:val="44"/>
          <w:szCs w:val="44"/>
          <w:lang w:eastAsia="zh-CN"/>
          <w14:textFill>
            <w14:solidFill>
              <w14:schemeClr w14:val="tx1"/>
            </w14:solidFill>
          </w14:textFill>
        </w:rPr>
      </w:pPr>
      <w:r>
        <w:rPr>
          <w:rFonts w:hint="eastAsia" w:ascii="宋体" w:hAnsi="宋体" w:eastAsia="宋体" w:cs="宋体"/>
          <w:b/>
          <w:bCs/>
          <w:color w:val="000000" w:themeColor="text1"/>
          <w:sz w:val="44"/>
          <w:szCs w:val="44"/>
          <w:lang w:eastAsia="zh-CN"/>
          <w14:textFill>
            <w14:solidFill>
              <w14:schemeClr w14:val="tx1"/>
            </w14:solidFill>
          </w14:textFill>
        </w:rPr>
        <w:t>竞争性磋商文件</w:t>
      </w:r>
      <w:bookmarkEnd w:id="0"/>
    </w:p>
    <w:p w14:paraId="760DE34E">
      <w:pPr>
        <w:tabs>
          <w:tab w:val="left" w:pos="2070"/>
          <w:tab w:val="center" w:pos="4365"/>
        </w:tabs>
        <w:snapToGrid w:val="0"/>
        <w:spacing w:line="360" w:lineRule="auto"/>
        <w:jc w:val="center"/>
        <w:rPr>
          <w:rFonts w:ascii="宋体"/>
          <w:b/>
          <w:bCs/>
          <w:color w:val="auto"/>
          <w:sz w:val="36"/>
          <w:szCs w:val="36"/>
        </w:rPr>
      </w:pPr>
    </w:p>
    <w:p w14:paraId="68DF086A">
      <w:pPr>
        <w:spacing w:line="360" w:lineRule="auto"/>
        <w:rPr>
          <w:rFonts w:ascii="宋体"/>
          <w:color w:val="auto"/>
          <w:sz w:val="32"/>
          <w:szCs w:val="32"/>
        </w:rPr>
      </w:pPr>
    </w:p>
    <w:p w14:paraId="2DA2DA5A">
      <w:pPr>
        <w:pStyle w:val="7"/>
      </w:pPr>
      <w:r>
        <w:rPr>
          <w:rFonts w:hint="eastAsia" w:ascii="宋体" w:eastAsia="宋体"/>
          <w:b/>
          <w:bCs/>
          <w:color w:val="000000" w:themeColor="text1"/>
          <w:sz w:val="36"/>
          <w:szCs w:val="36"/>
          <w:lang w:eastAsia="zh-CN"/>
          <w14:textFill>
            <w14:solidFill>
              <w14:schemeClr w14:val="tx1"/>
            </w14:solidFill>
          </w14:textFill>
        </w:rPr>
        <w:drawing>
          <wp:inline distT="0" distB="0" distL="114300" distR="114300">
            <wp:extent cx="4880610" cy="1863725"/>
            <wp:effectExtent l="0" t="0" r="0" b="0"/>
            <wp:docPr id="1" name="图片 1" descr="72e036e33f263e46bf9e23595dfbea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2e036e33f263e46bf9e23595dfbea48"/>
                    <pic:cNvPicPr>
                      <a:picLocks noChangeAspect="1"/>
                    </pic:cNvPicPr>
                  </pic:nvPicPr>
                  <pic:blipFill>
                    <a:blip r:embed="rId10"/>
                    <a:stretch>
                      <a:fillRect/>
                    </a:stretch>
                  </pic:blipFill>
                  <pic:spPr>
                    <a:xfrm>
                      <a:off x="0" y="0"/>
                      <a:ext cx="4880610" cy="1863725"/>
                    </a:xfrm>
                    <a:prstGeom prst="rect">
                      <a:avLst/>
                    </a:prstGeom>
                  </pic:spPr>
                </pic:pic>
              </a:graphicData>
            </a:graphic>
          </wp:inline>
        </w:drawing>
      </w:r>
    </w:p>
    <w:p w14:paraId="5F270B44">
      <w:pPr>
        <w:tabs>
          <w:tab w:val="left" w:pos="2070"/>
          <w:tab w:val="center" w:pos="4365"/>
        </w:tabs>
        <w:snapToGrid w:val="0"/>
        <w:spacing w:line="360" w:lineRule="auto"/>
        <w:rPr>
          <w:rFonts w:ascii="宋体"/>
          <w:b/>
          <w:bCs/>
          <w:color w:val="auto"/>
          <w:sz w:val="36"/>
          <w:szCs w:val="36"/>
        </w:rPr>
      </w:pPr>
    </w:p>
    <w:p w14:paraId="1EF9D05D"/>
    <w:p w14:paraId="1565D6E5">
      <w:pPr>
        <w:pStyle w:val="10"/>
      </w:pPr>
    </w:p>
    <w:p w14:paraId="556C7D4B">
      <w:pPr>
        <w:spacing w:line="360" w:lineRule="auto"/>
        <w:ind w:firstLine="964" w:firstLineChars="300"/>
        <w:jc w:val="both"/>
        <w:rPr>
          <w:rFonts w:hint="default" w:ascii="宋体" w:cs="宋体"/>
          <w:b/>
          <w:bCs/>
          <w:color w:val="FF0000"/>
          <w:sz w:val="32"/>
          <w:szCs w:val="32"/>
          <w:u w:val="single"/>
          <w:lang w:val="en-US" w:eastAsia="zh-CN"/>
        </w:rPr>
      </w:pPr>
      <w:r>
        <w:rPr>
          <w:rFonts w:hint="eastAsia" w:ascii="宋体" w:cs="宋体"/>
          <w:b/>
          <w:bCs/>
          <w:color w:val="000000" w:themeColor="text1"/>
          <w:sz w:val="32"/>
          <w:szCs w:val="32"/>
          <w:lang w:val="en-US" w:eastAsia="zh-CN"/>
          <w14:textFill>
            <w14:solidFill>
              <w14:schemeClr w14:val="tx1"/>
            </w14:solidFill>
          </w14:textFill>
        </w:rPr>
        <w:t>采 购 单 位 ：</w:t>
      </w:r>
      <w:r>
        <w:rPr>
          <w:rFonts w:hint="eastAsia" w:ascii="宋体" w:cs="宋体"/>
          <w:b/>
          <w:bCs/>
          <w:color w:val="000000" w:themeColor="text1"/>
          <w:sz w:val="32"/>
          <w:szCs w:val="32"/>
          <w:u w:val="single"/>
          <w:lang w:val="en-US" w:eastAsia="zh-CN"/>
          <w14:textFill>
            <w14:solidFill>
              <w14:schemeClr w14:val="tx1"/>
            </w14:solidFill>
          </w14:textFill>
        </w:rPr>
        <w:t>镇坪县自然资源局（不动产登记局）</w:t>
      </w:r>
    </w:p>
    <w:p w14:paraId="72FE14F6">
      <w:pPr>
        <w:spacing w:line="360" w:lineRule="auto"/>
        <w:ind w:firstLine="964" w:firstLineChars="300"/>
        <w:jc w:val="both"/>
        <w:rPr>
          <w:rFonts w:hint="eastAsia" w:ascii="宋体" w:hAnsi="宋体" w:cs="宋体"/>
          <w:b/>
          <w:bCs/>
          <w:color w:val="auto"/>
          <w:sz w:val="32"/>
          <w:szCs w:val="32"/>
          <w:u w:val="single"/>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u w:val="single"/>
          <w:lang w:eastAsia="zh-CN"/>
        </w:rPr>
        <w:t>丰信国际项目管理有限公司</w:t>
      </w:r>
    </w:p>
    <w:p w14:paraId="16EB9B80">
      <w:pPr>
        <w:spacing w:line="360" w:lineRule="auto"/>
        <w:ind w:firstLine="964" w:firstLineChars="300"/>
        <w:jc w:val="both"/>
        <w:rPr>
          <w:rFonts w:hint="default" w:ascii="宋体" w:eastAsia="宋体"/>
          <w:b/>
          <w:bCs/>
          <w:color w:val="auto"/>
          <w:sz w:val="32"/>
          <w:szCs w:val="32"/>
          <w:u w:val="single"/>
          <w:lang w:val="en-US" w:eastAsia="zh-CN"/>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w:t>
      </w:r>
      <w:r>
        <w:rPr>
          <w:rFonts w:hint="eastAsia" w:ascii="宋体" w:cs="宋体"/>
          <w:b/>
          <w:bCs/>
          <w:color w:val="auto"/>
          <w:sz w:val="32"/>
          <w:szCs w:val="32"/>
          <w:u w:val="single"/>
          <w:lang w:val="en-US" w:eastAsia="zh-CN"/>
        </w:rPr>
        <w:t>2026年06月</w:t>
      </w:r>
    </w:p>
    <w:p w14:paraId="72BCEAA1">
      <w:pPr>
        <w:spacing w:line="360" w:lineRule="auto"/>
        <w:ind w:firstLine="1807" w:firstLineChars="500"/>
        <w:rPr>
          <w:rFonts w:ascii="宋体"/>
          <w:b/>
          <w:bCs/>
          <w:color w:val="auto"/>
          <w:sz w:val="36"/>
          <w:szCs w:val="36"/>
          <w:u w:val="single"/>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20"/>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3</w:t>
      </w:r>
    </w:p>
    <w:p w14:paraId="15B1B90E">
      <w:pPr>
        <w:pStyle w:val="20"/>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6</w:t>
      </w:r>
    </w:p>
    <w:p w14:paraId="45ACA687">
      <w:pPr>
        <w:pStyle w:val="20"/>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9</w:t>
      </w:r>
    </w:p>
    <w:p w14:paraId="1A95BE84">
      <w:pPr>
        <w:pStyle w:val="20"/>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服务内容及要求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31</w:t>
      </w:r>
    </w:p>
    <w:p w14:paraId="494D0435">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33</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35</w:t>
      </w:r>
    </w:p>
    <w:p w14:paraId="4B4EAE00">
      <w:pPr>
        <w:pStyle w:val="20"/>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40</w:t>
      </w:r>
    </w:p>
    <w:p w14:paraId="08CD2032">
      <w:pPr>
        <w:pStyle w:val="20"/>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20"/>
        <w:tabs>
          <w:tab w:val="right" w:leader="dot" w:pos="9004"/>
        </w:tabs>
        <w:spacing w:line="440" w:lineRule="exact"/>
        <w:rPr>
          <w:rFonts w:ascii="宋体"/>
          <w:b/>
          <w:bCs/>
          <w:color w:val="auto"/>
          <w:kern w:val="44"/>
          <w:sz w:val="24"/>
          <w:szCs w:val="24"/>
        </w:rPr>
      </w:pPr>
      <w:bookmarkStart w:id="2" w:name="_Toc470876866"/>
    </w:p>
    <w:p w14:paraId="15BDE488">
      <w:pPr>
        <w:pStyle w:val="20"/>
        <w:tabs>
          <w:tab w:val="right" w:leader="dot" w:pos="9004"/>
        </w:tabs>
        <w:spacing w:line="440" w:lineRule="exact"/>
        <w:rPr>
          <w:rFonts w:ascii="宋体"/>
          <w:b/>
          <w:bCs/>
          <w:color w:val="auto"/>
          <w:kern w:val="44"/>
          <w:sz w:val="24"/>
          <w:szCs w:val="24"/>
        </w:rPr>
      </w:pPr>
    </w:p>
    <w:p w14:paraId="1F014890">
      <w:pPr>
        <w:pStyle w:val="20"/>
        <w:tabs>
          <w:tab w:val="right" w:leader="dot" w:pos="9004"/>
        </w:tabs>
        <w:spacing w:line="440" w:lineRule="exact"/>
        <w:rPr>
          <w:rFonts w:ascii="宋体"/>
          <w:b/>
          <w:bCs/>
          <w:color w:val="auto"/>
          <w:kern w:val="44"/>
          <w:sz w:val="24"/>
          <w:szCs w:val="24"/>
        </w:rPr>
      </w:pPr>
    </w:p>
    <w:p w14:paraId="3D0A49FB">
      <w:pPr>
        <w:pStyle w:val="20"/>
        <w:tabs>
          <w:tab w:val="right" w:leader="dot" w:pos="9004"/>
        </w:tabs>
        <w:spacing w:line="440" w:lineRule="exact"/>
        <w:rPr>
          <w:rFonts w:ascii="宋体"/>
          <w:b/>
          <w:bCs/>
          <w:color w:val="auto"/>
          <w:kern w:val="44"/>
          <w:sz w:val="24"/>
          <w:szCs w:val="24"/>
        </w:rPr>
      </w:pPr>
    </w:p>
    <w:p w14:paraId="540928D9">
      <w:pPr>
        <w:pStyle w:val="20"/>
        <w:tabs>
          <w:tab w:val="right" w:leader="dot" w:pos="9004"/>
        </w:tabs>
        <w:spacing w:line="440" w:lineRule="exact"/>
        <w:rPr>
          <w:rFonts w:ascii="宋体"/>
          <w:b/>
          <w:bCs/>
          <w:color w:val="auto"/>
          <w:kern w:val="44"/>
          <w:sz w:val="24"/>
          <w:szCs w:val="24"/>
        </w:rPr>
      </w:pPr>
    </w:p>
    <w:p w14:paraId="765440FF">
      <w:pPr>
        <w:pStyle w:val="20"/>
        <w:tabs>
          <w:tab w:val="right" w:leader="dot" w:pos="9004"/>
        </w:tabs>
        <w:spacing w:line="440" w:lineRule="exact"/>
        <w:rPr>
          <w:rFonts w:ascii="宋体"/>
          <w:b/>
          <w:bCs/>
          <w:color w:val="auto"/>
          <w:kern w:val="44"/>
          <w:sz w:val="24"/>
          <w:szCs w:val="24"/>
        </w:rPr>
      </w:pPr>
    </w:p>
    <w:p w14:paraId="6E10424C">
      <w:pPr>
        <w:pStyle w:val="20"/>
        <w:tabs>
          <w:tab w:val="right" w:leader="dot" w:pos="9004"/>
        </w:tabs>
        <w:spacing w:line="440" w:lineRule="exact"/>
        <w:rPr>
          <w:rFonts w:ascii="宋体"/>
          <w:b/>
          <w:bCs/>
          <w:color w:val="auto"/>
          <w:kern w:val="44"/>
          <w:sz w:val="24"/>
          <w:szCs w:val="24"/>
        </w:rPr>
      </w:pPr>
    </w:p>
    <w:p w14:paraId="41BD7A36">
      <w:pPr>
        <w:pStyle w:val="20"/>
        <w:tabs>
          <w:tab w:val="right" w:leader="dot" w:pos="9004"/>
        </w:tabs>
        <w:spacing w:line="440" w:lineRule="exact"/>
        <w:rPr>
          <w:rFonts w:ascii="宋体"/>
          <w:b/>
          <w:bCs/>
          <w:color w:val="auto"/>
          <w:kern w:val="44"/>
          <w:sz w:val="24"/>
          <w:szCs w:val="24"/>
        </w:rPr>
      </w:pPr>
    </w:p>
    <w:p w14:paraId="64077A2E">
      <w:pPr>
        <w:pStyle w:val="20"/>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20"/>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20"/>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53858057"/>
      <w:bookmarkStart w:id="6" w:name="_Toc470876867"/>
      <w:bookmarkStart w:id="7" w:name="_Toc453917613"/>
      <w:bookmarkStart w:id="8" w:name="_Toc453917520"/>
    </w:p>
    <w:p w14:paraId="44DDCEC9">
      <w:pPr>
        <w:keepNext w:val="0"/>
        <w:keepLines w:val="0"/>
        <w:pageBreakBefore w:val="0"/>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spacing w:line="300" w:lineRule="atLeast"/>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项目概况：</w:t>
      </w:r>
    </w:p>
    <w:p w14:paraId="0ABF4D48">
      <w:pPr>
        <w:keepNext w:val="0"/>
        <w:keepLines w:val="0"/>
        <w:pageBreakBefore w:val="0"/>
        <w:widowControl/>
        <w:numPr>
          <w:ilvl w:val="0"/>
          <w:numId w:val="0"/>
        </w:numPr>
        <w:pBdr>
          <w:top w:val="single" w:color="auto" w:sz="4" w:space="1"/>
          <w:left w:val="single" w:color="auto" w:sz="4" w:space="4"/>
          <w:bottom w:val="single" w:color="auto" w:sz="4" w:space="1"/>
          <w:right w:val="single" w:color="auto" w:sz="4" w:space="4"/>
          <w:between w:val="none" w:color="auto" w:sz="0" w:space="0"/>
        </w:pBdr>
        <w:kinsoku/>
        <w:wordWrap/>
        <w:overflowPunct/>
        <w:topLinePunct w:val="0"/>
        <w:autoSpaceDE/>
        <w:autoSpaceDN/>
        <w:bidi w:val="0"/>
        <w:adjustRightInd w:val="0"/>
        <w:snapToGrid w:val="0"/>
        <w:spacing w:line="300" w:lineRule="atLeast"/>
        <w:ind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镇坪县永久基本农田调整补划方案编制技术服务项目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潜在的供应商可在</w:t>
      </w:r>
      <w:r>
        <w:rPr>
          <w:rFonts w:hint="eastAsia" w:ascii="宋体" w:hAnsi="宋体" w:cs="宋体"/>
          <w:b w:val="0"/>
          <w:bCs/>
          <w:color w:val="000000" w:themeColor="text1"/>
          <w:kern w:val="2"/>
          <w:sz w:val="24"/>
          <w:szCs w:val="24"/>
          <w:lang w:val="en-US" w:eastAsia="zh-CN" w:bidi="ar-SA"/>
          <w14:textFill>
            <w14:solidFill>
              <w14:schemeClr w14:val="tx1"/>
            </w14:solidFill>
          </w14:textFill>
        </w:rPr>
        <w:t>陕西省安康市高新技术产业开发区江北办事处张岭村六组268号获</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取采购文件，并于202</w:t>
      </w:r>
      <w:r>
        <w:rPr>
          <w:rFonts w:hint="eastAsia" w:ascii="宋体"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ascii="宋体" w:hAnsi="宋体"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ascii="宋体" w:hAnsi="宋体" w:cs="宋体"/>
          <w:b w:val="0"/>
          <w:bCs/>
          <w:color w:val="000000" w:themeColor="text1"/>
          <w:kern w:val="2"/>
          <w:sz w:val="24"/>
          <w:szCs w:val="24"/>
          <w:lang w:val="en-US" w:eastAsia="zh-CN" w:bidi="ar-SA"/>
          <w14:textFill>
            <w14:solidFill>
              <w14:schemeClr w14:val="tx1"/>
            </w14:solidFill>
          </w14:textFill>
        </w:rPr>
        <w:t>23</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15</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00</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分（北京时间）</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前提交响应文件。</w:t>
      </w:r>
    </w:p>
    <w:p w14:paraId="3712783D">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56F8E10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FX-AK-2026-03</w:t>
      </w:r>
    </w:p>
    <w:p w14:paraId="47FE7D9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镇坪县永久基本农田调整补划方案编制技术服务项目</w:t>
      </w:r>
    </w:p>
    <w:p w14:paraId="11C030D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0E08E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210000.00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9619F1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7FA5170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镇坪县永久基本农田调整补划方案编制技术服务项目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7C92FCD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210000.00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12C7971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cs="宋体"/>
          <w:b w:val="0"/>
          <w:bCs/>
          <w:color w:val="000000" w:themeColor="text1"/>
          <w:kern w:val="2"/>
          <w:sz w:val="24"/>
          <w:szCs w:val="24"/>
          <w:lang w:val="en-US" w:eastAsia="zh-CN" w:bidi="ar-SA"/>
          <w14:textFill>
            <w14:solidFill>
              <w14:schemeClr w14:val="tx1"/>
            </w14:solidFill>
          </w14:textFill>
        </w:rPr>
        <w:t>210000.00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6"/>
        <w:tblW w:w="859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801"/>
        <w:gridCol w:w="1177"/>
        <w:gridCol w:w="1827"/>
        <w:gridCol w:w="1800"/>
      </w:tblGrid>
      <w:tr w14:paraId="12B9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44DB316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4E3B90B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801" w:type="dxa"/>
            <w:vAlign w:val="center"/>
          </w:tcPr>
          <w:p w14:paraId="3035EBB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177" w:type="dxa"/>
            <w:vAlign w:val="center"/>
          </w:tcPr>
          <w:p w14:paraId="5E05D47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62C8C9C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827" w:type="dxa"/>
            <w:vAlign w:val="center"/>
          </w:tcPr>
          <w:p w14:paraId="5095495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F52E71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800" w:type="dxa"/>
            <w:vAlign w:val="center"/>
          </w:tcPr>
          <w:p w14:paraId="16F2B9E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D7243F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6603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316EF62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08CF671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default"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其他专业技术服务</w:t>
            </w:r>
          </w:p>
        </w:tc>
        <w:tc>
          <w:tcPr>
            <w:tcW w:w="1801" w:type="dxa"/>
            <w:vAlign w:val="center"/>
          </w:tcPr>
          <w:p w14:paraId="27BEE35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镇坪县永久基本农田调整补划方案编制</w:t>
            </w:r>
          </w:p>
        </w:tc>
        <w:tc>
          <w:tcPr>
            <w:tcW w:w="1177" w:type="dxa"/>
            <w:vAlign w:val="center"/>
          </w:tcPr>
          <w:p w14:paraId="64FF0B7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个</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827" w:type="dxa"/>
            <w:vAlign w:val="center"/>
          </w:tcPr>
          <w:p w14:paraId="5170162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800" w:type="dxa"/>
            <w:vAlign w:val="center"/>
          </w:tcPr>
          <w:p w14:paraId="6C8CFEA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210000.00</w:t>
            </w:r>
          </w:p>
        </w:tc>
      </w:tr>
    </w:tbl>
    <w:p w14:paraId="03B15A3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5E37537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合同签订之日起30日历天内完成全部成果编制、外业核查、三级审核与汇交；后续配合修改、验收、入库及上级核查，服务期至验收合格为止。</w:t>
      </w:r>
    </w:p>
    <w:p w14:paraId="4F9BB80D">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w:t>
      </w:r>
    </w:p>
    <w:p w14:paraId="7DCF9C2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p>
    <w:p w14:paraId="013F8E5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04CC5A2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镇坪县永久基本农田调整补划方案编制技术服务项目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14291E7F">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p>
    <w:p w14:paraId="305F79A3">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p>
    <w:p w14:paraId="1A77D558">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p>
    <w:p w14:paraId="7EEDD3C6">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p>
    <w:p w14:paraId="7F0618A6">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p>
    <w:p w14:paraId="2868FDCB">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p>
    <w:p w14:paraId="76F8DD22">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p>
    <w:p w14:paraId="2CFB36DE">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p>
    <w:p w14:paraId="353B0CB4">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cs="宋体"/>
          <w:b w:val="0"/>
          <w:bCs/>
          <w:color w:val="000000" w:themeColor="text1"/>
          <w:kern w:val="2"/>
          <w:sz w:val="24"/>
          <w:szCs w:val="24"/>
          <w:lang w:val="en-US" w:eastAsia="zh-CN" w:bidi="ar-SA"/>
          <w14:textFill>
            <w14:solidFill>
              <w14:schemeClr w14:val="tx1"/>
            </w14:solidFill>
          </w14:textFill>
        </w:rPr>
        <w:t>；</w:t>
      </w:r>
    </w:p>
    <w:p w14:paraId="5FC5EEA3">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cs="宋体"/>
          <w:b w:val="0"/>
          <w:bCs/>
          <w:color w:val="000000" w:themeColor="text1"/>
          <w:kern w:val="2"/>
          <w:sz w:val="24"/>
          <w:szCs w:val="24"/>
          <w:lang w:val="en-US" w:eastAsia="zh-CN" w:bidi="ar-SA"/>
          <w14:textFill>
            <w14:solidFill>
              <w14:schemeClr w14:val="tx1"/>
            </w14:solidFill>
          </w14:textFill>
        </w:rPr>
        <w:t>；</w:t>
      </w:r>
    </w:p>
    <w:p w14:paraId="2762A0D5">
      <w:pPr>
        <w:pStyle w:val="23"/>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其他需要落实的政府采购政策，按国家相关规定执行。</w:t>
      </w:r>
    </w:p>
    <w:p w14:paraId="42CFC923">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4201AAD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镇坪县永久基本农田调整补划方案编制技术服务项目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714B917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C54DCF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011944B4">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000000" w:themeColor="text1"/>
          <w:sz w:val="24"/>
          <w:szCs w:val="24"/>
          <w:lang w:val="en-US" w:eastAsia="zh-CN"/>
          <w14:textFill>
            <w14:solidFill>
              <w14:schemeClr w14:val="tx1"/>
            </w14:solidFill>
          </w14:textFill>
        </w:rPr>
        <w:t>提供2024</w:t>
      </w:r>
      <w:r>
        <w:rPr>
          <w:rFonts w:hint="eastAsia" w:ascii="宋体" w:hAnsi="宋体" w:cs="宋体"/>
          <w:color w:val="000000" w:themeColor="text1"/>
          <w:sz w:val="24"/>
          <w:szCs w:val="24"/>
          <w:lang w:val="en-US" w:eastAsia="zh-CN"/>
          <w14:textFill>
            <w14:solidFill>
              <w14:schemeClr w14:val="tx1"/>
            </w14:solidFill>
          </w14:textFill>
        </w:rPr>
        <w:t>或2025</w:t>
      </w:r>
      <w:r>
        <w:rPr>
          <w:rFonts w:hint="eastAsia" w:ascii="宋体" w:hAnsi="宋体" w:eastAsia="宋体" w:cs="宋体"/>
          <w:color w:val="000000" w:themeColor="text1"/>
          <w:sz w:val="24"/>
          <w:szCs w:val="24"/>
          <w:lang w:val="en-US" w:eastAsia="zh-CN"/>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themeColor="text1"/>
          <w:sz w:val="24"/>
          <w:szCs w:val="24"/>
          <w14:textFill>
            <w14:solidFill>
              <w14:schemeClr w14:val="tx1"/>
            </w14:solidFill>
          </w14:textFill>
        </w:rPr>
        <w:t>提供</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w:t>
      </w:r>
      <w:r>
        <w:rPr>
          <w:rFonts w:hint="eastAsia" w:ascii="宋体" w:hAnsi="宋体" w:eastAsia="宋体" w:cs="宋体"/>
          <w:b w:val="0"/>
          <w:bCs w:val="0"/>
          <w:color w:val="000000" w:themeColor="text1"/>
          <w:sz w:val="24"/>
          <w:szCs w:val="24"/>
          <w14:textFill>
            <w14:solidFill>
              <w14:schemeClr w14:val="tx1"/>
            </w14:solidFill>
          </w14:textFill>
        </w:rPr>
        <w:t>响应文件递交截止时间前六个月内其基本账户开户银行出具的资信证明</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491F3A6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color w:val="000000" w:themeColor="text1"/>
          <w:sz w:val="24"/>
          <w:szCs w:val="24"/>
          <w:lang w:val="en-US" w:eastAsia="zh-CN"/>
          <w14:textFill>
            <w14:solidFill>
              <w14:schemeClr w14:val="tx1"/>
            </w14:solidFill>
          </w14:textFill>
        </w:rPr>
        <w:t>提供</w:t>
      </w:r>
      <w:r>
        <w:rPr>
          <w:rFonts w:hint="eastAsia" w:cs="宋体"/>
          <w:color w:val="000000" w:themeColor="text1"/>
          <w:sz w:val="24"/>
          <w:szCs w:val="24"/>
          <w:lang w:val="en-US" w:eastAsia="zh-CN"/>
          <w14:textFill>
            <w14:solidFill>
              <w14:schemeClr w14:val="tx1"/>
            </w14:solidFill>
          </w14:textFill>
        </w:rPr>
        <w:t>2025年</w:t>
      </w:r>
      <w:r>
        <w:rPr>
          <w:rFonts w:hint="eastAsia" w:ascii="宋体" w:hAnsi="宋体" w:eastAsia="宋体" w:cs="宋体"/>
          <w:color w:val="000000" w:themeColor="text1"/>
          <w:sz w:val="24"/>
          <w:szCs w:val="24"/>
          <w:lang w:val="en-US" w:eastAsia="zh-CN"/>
          <w14:textFill>
            <w14:solidFill>
              <w14:schemeClr w14:val="tx1"/>
            </w14:solidFill>
          </w14:textFill>
        </w:rPr>
        <w:t>1月1日至今任意一个月的纳税证明或完税证明（依法免税的单位应提供相关证明材料），投标单位提供</w:t>
      </w:r>
      <w:r>
        <w:rPr>
          <w:rFonts w:hint="eastAsia" w:cs="宋体"/>
          <w:color w:val="000000" w:themeColor="text1"/>
          <w:sz w:val="24"/>
          <w:szCs w:val="24"/>
          <w:lang w:val="en-US" w:eastAsia="zh-CN"/>
          <w14:textFill>
            <w14:solidFill>
              <w14:schemeClr w14:val="tx1"/>
            </w14:solidFill>
          </w14:textFill>
        </w:rPr>
        <w:t>2025年</w:t>
      </w:r>
      <w:r>
        <w:rPr>
          <w:rFonts w:hint="eastAsia" w:ascii="宋体" w:hAnsi="宋体" w:eastAsia="宋体" w:cs="宋体"/>
          <w:color w:val="000000" w:themeColor="text1"/>
          <w:sz w:val="24"/>
          <w:szCs w:val="24"/>
          <w:lang w:val="en-US" w:eastAsia="zh-CN"/>
          <w14:textFill>
            <w14:solidFill>
              <w14:schemeClr w14:val="tx1"/>
            </w14:solidFill>
          </w14:textFill>
        </w:rPr>
        <w:t>1月1日至今任意一个月的社会保障资金缴存单据或社保机构开具的社会保险参保缴费情况证明（依法不需要缴纳社会保障资金的单位应提供相关证明材料）；</w:t>
      </w:r>
    </w:p>
    <w:p w14:paraId="2422D7F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（5）供应商须同时具有行政主管部门颁发的测绘乙级及以上(含乙级)资质和土地规划乙级及以上(含乙级)资质；</w:t>
      </w:r>
    </w:p>
    <w:p w14:paraId="57F6FCB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40D6BFE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2781290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7EB7BA0F">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其他未列明行业</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7231948C">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01D6891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11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日至202</w:t>
      </w:r>
      <w:r>
        <w:rPr>
          <w:rFonts w:hint="eastAsia"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cs="宋体"/>
          <w:b w:val="0"/>
          <w:bCs/>
          <w:color w:val="000000" w:themeColor="text1"/>
          <w:kern w:val="2"/>
          <w:sz w:val="24"/>
          <w:szCs w:val="24"/>
          <w:lang w:val="en-US" w:eastAsia="zh-CN" w:bidi="ar-SA"/>
          <w14:textFill>
            <w14:solidFill>
              <w14:schemeClr w14:val="tx1"/>
            </w14:solidFill>
          </w14:textFill>
        </w:rPr>
        <w:t>06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cs="宋体"/>
          <w:b w:val="0"/>
          <w:bCs/>
          <w:color w:val="000000" w:themeColor="text1"/>
          <w:kern w:val="2"/>
          <w:sz w:val="24"/>
          <w:szCs w:val="24"/>
          <w:lang w:val="en-US" w:eastAsia="zh-CN" w:bidi="ar-SA"/>
          <w14:textFill>
            <w14:solidFill>
              <w14:schemeClr w14:val="tx1"/>
            </w14:solidFill>
          </w14:textFill>
        </w:rPr>
        <w:t>17</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日，每天上午0</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:00:00至12:00:00，下午14:00:00至1</w:t>
      </w:r>
      <w:r>
        <w:rPr>
          <w:rFonts w:hint="eastAsia" w:cs="宋体"/>
          <w:b w:val="0"/>
          <w:bCs/>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:00:00（北京时间,法定节假日除外）</w:t>
      </w:r>
    </w:p>
    <w:p w14:paraId="3E1E7D1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cs="宋体"/>
          <w:b w:val="0"/>
          <w:bCs/>
          <w:color w:val="000000" w:themeColor="text1"/>
          <w:kern w:val="2"/>
          <w:sz w:val="24"/>
          <w:szCs w:val="24"/>
          <w:lang w:val="en-US" w:eastAsia="zh-CN" w:bidi="ar-SA"/>
          <w14:textFill>
            <w14:solidFill>
              <w14:schemeClr w14:val="tx1"/>
            </w14:solidFill>
          </w14:textFill>
        </w:rPr>
        <w:t>陕西省安康市高新技术产业开发区江北办事处张岭村六组268号</w:t>
      </w:r>
    </w:p>
    <w:p w14:paraId="327B88B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w:t>
      </w:r>
      <w:r>
        <w:rPr>
          <w:rFonts w:hint="eastAsia" w:cs="宋体"/>
          <w:b w:val="0"/>
          <w:bCs/>
          <w:color w:val="000000" w:themeColor="text1"/>
          <w:kern w:val="2"/>
          <w:sz w:val="24"/>
          <w:szCs w:val="24"/>
          <w:lang w:val="en-US" w:eastAsia="zh-CN" w:bidi="ar-SA"/>
          <w14:textFill>
            <w14:solidFill>
              <w14:schemeClr w14:val="tx1"/>
            </w14:solidFill>
          </w14:textFill>
        </w:rPr>
        <w:t>现场</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w:t>
      </w:r>
    </w:p>
    <w:p w14:paraId="4A7597A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2CB81048">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159C5555">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06月23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45CAEDDE">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cs="宋体"/>
          <w:snapToGrid w:val="0"/>
          <w:color w:val="000000" w:themeColor="text1"/>
          <w:sz w:val="24"/>
          <w:szCs w:val="24"/>
          <w:highlight w:val="none"/>
          <w:lang w:eastAsia="zh-CN"/>
          <w14:textFill>
            <w14:solidFill>
              <w14:schemeClr w14:val="tx1"/>
            </w14:solidFill>
          </w14:textFill>
        </w:rPr>
        <w:t>丰信国际项目管理有限公司会议室（陕西省安康市高新技术产业开发区江北办事处张岭村六组268号）</w:t>
      </w:r>
    </w:p>
    <w:p w14:paraId="29945157">
      <w:pPr>
        <w:pStyle w:val="56"/>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4E7E8A2">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23</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15</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05C46DF1">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地点：</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丰信国际项目管理有限公司会议室（陕西省安康市高新技术产业开发区江北办事处张岭村六组268号）</w:t>
      </w:r>
    </w:p>
    <w:p w14:paraId="5E05302C">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61F7E562">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0C3B264D">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550DAF0F">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注</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：磋商文件</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获取须知：（1）供应商须在竞争性磋商文件获取时间内携带法人授权委托书（附法定代表人及被授权人身份证复印件加盖公章）和被授权人身份证原件、营业执照复印件并加盖公章送至采购代理机构获取竞争性磋商文件。</w:t>
      </w:r>
    </w:p>
    <w:p w14:paraId="2BAE2725">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）请各投标人获取磋商文件后，按照陕西省财政厅《关于政府采购投标人注册登记有关事项的通知》要求，通过陕西省政府采购网注册登记加入陕西省政府采购投标人库。</w:t>
      </w:r>
    </w:p>
    <w:p w14:paraId="17767235">
      <w:pPr>
        <w:pStyle w:val="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31CEB324">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B32696A">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镇坪县自然资源局（不动产登记局）</w:t>
      </w:r>
    </w:p>
    <w:p w14:paraId="1DF4FE67">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default"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地址：镇坪县城关镇上新街文化大厦三楼</w:t>
      </w:r>
    </w:p>
    <w:p w14:paraId="4E9E645D">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联系方式：15909153153</w:t>
      </w:r>
    </w:p>
    <w:p w14:paraId="3F9FCFFF">
      <w:pPr>
        <w:pStyle w:val="23"/>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27F00F45">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丰信国际项目管理有限公司</w:t>
      </w:r>
    </w:p>
    <w:p w14:paraId="14C3C095">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cs="宋体"/>
          <w:color w:val="000000" w:themeColor="text1"/>
          <w:sz w:val="24"/>
          <w:szCs w:val="24"/>
          <w:lang w:val="en-US" w:eastAsia="zh-CN"/>
          <w14:textFill>
            <w14:solidFill>
              <w14:schemeClr w14:val="tx1"/>
            </w14:solidFill>
          </w14:textFill>
        </w:rPr>
        <w:t>陕西省安康市高新技术产业开发区江北办事处张岭村六组268号</w:t>
      </w:r>
    </w:p>
    <w:p w14:paraId="635514FC">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15229999096</w:t>
      </w:r>
    </w:p>
    <w:p w14:paraId="03DE753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项目联系方式</w:t>
      </w:r>
    </w:p>
    <w:p w14:paraId="5098742E">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w:t>
      </w:r>
      <w:r>
        <w:rPr>
          <w:rFonts w:hint="eastAsia" w:cs="宋体"/>
          <w:color w:val="000000" w:themeColor="text1"/>
          <w:sz w:val="24"/>
          <w:szCs w:val="24"/>
          <w:lang w:val="en-US" w:eastAsia="zh-CN"/>
          <w14:textFill>
            <w14:solidFill>
              <w14:schemeClr w14:val="tx1"/>
            </w14:solidFill>
          </w14:textFill>
        </w:rPr>
        <w:t>王研</w:t>
      </w:r>
    </w:p>
    <w:p w14:paraId="559B20E3">
      <w:pPr>
        <w:keepNext w:val="0"/>
        <w:keepLines w:val="0"/>
        <w:pageBreakBefore w:val="0"/>
        <w:widowControl/>
        <w:kinsoku/>
        <w:wordWrap/>
        <w:overflowPunct/>
        <w:topLinePunct w:val="0"/>
        <w:autoSpaceDE/>
        <w:autoSpaceDN/>
        <w:bidi w:val="0"/>
        <w:adjustRightInd w:val="0"/>
        <w:snapToGrid w:val="0"/>
        <w:spacing w:after="0" w:line="300" w:lineRule="atLeast"/>
        <w:ind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话：</w:t>
      </w:r>
      <w:r>
        <w:rPr>
          <w:rFonts w:hint="eastAsia" w:ascii="宋体" w:hAnsi="宋体" w:cs="宋体"/>
          <w:color w:val="000000" w:themeColor="text1"/>
          <w:sz w:val="24"/>
          <w:szCs w:val="24"/>
          <w:lang w:val="en-US" w:eastAsia="zh-CN"/>
          <w14:textFill>
            <w14:solidFill>
              <w14:schemeClr w14:val="tx1"/>
            </w14:solidFill>
          </w14:textFill>
        </w:rPr>
        <w:t>15229999096</w:t>
      </w:r>
    </w:p>
    <w:p w14:paraId="727A2830">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D95DF9A">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丰信国际项目管理有限公司</w:t>
      </w:r>
    </w:p>
    <w:p w14:paraId="23D9D44F">
      <w:pPr>
        <w:keepNext w:val="0"/>
        <w:keepLines w:val="0"/>
        <w:pageBreakBefore w:val="0"/>
        <w:kinsoku/>
        <w:wordWrap/>
        <w:overflowPunct/>
        <w:topLinePunct w:val="0"/>
        <w:autoSpaceDE/>
        <w:autoSpaceDN/>
        <w:bidi w:val="0"/>
        <w:spacing w:line="300" w:lineRule="atLeast"/>
        <w:jc w:val="right"/>
        <w:textAlignment w:val="auto"/>
        <w:rPr>
          <w:rFonts w:hint="eastAsia" w:ascii="仿宋" w:hAnsi="仿宋" w:eastAsia="仿宋" w:cs="仿宋"/>
          <w:sz w:val="24"/>
          <w:szCs w:val="24"/>
          <w:u w:val="none"/>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06</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10</w:t>
      </w:r>
      <w:r>
        <w:rPr>
          <w:rFonts w:hint="eastAsia" w:ascii="宋体" w:hAnsi="宋体" w:eastAsia="宋体" w:cs="宋体"/>
          <w:color w:val="000000" w:themeColor="text1"/>
          <w:sz w:val="24"/>
          <w:szCs w:val="24"/>
          <w:u w:val="none"/>
          <w14:textFill>
            <w14:solidFill>
              <w14:schemeClr w14:val="tx1"/>
            </w14:solidFill>
          </w14:textFill>
        </w:rPr>
        <w:t>日</w:t>
      </w:r>
    </w:p>
    <w:p w14:paraId="2209E72A">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cs="宋体"/>
          <w:b w:val="0"/>
          <w:bCs w:val="0"/>
          <w:color w:val="000000" w:themeColor="text1"/>
          <w:sz w:val="24"/>
          <w:szCs w:val="24"/>
          <w:lang w:val="en-US" w:eastAsia="zh-CN"/>
          <w14:textFill>
            <w14:solidFill>
              <w14:schemeClr w14:val="tx1"/>
            </w14:solidFill>
          </w14:textFill>
        </w:rPr>
      </w:pPr>
    </w:p>
    <w:p w14:paraId="1F697830">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1312;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6F734BF9">
      <w:pPr>
        <w:keepNext w:val="0"/>
        <w:keepLines w:val="0"/>
        <w:widowControl/>
        <w:suppressLineNumbers w:val="0"/>
        <w:ind w:firstLine="482" w:firstLineChars="200"/>
        <w:jc w:val="left"/>
        <w:rPr>
          <w:rFonts w:hint="eastAsia" w:ascii="仿宋" w:hAnsi="仿宋" w:eastAsia="仿宋" w:cs="仿宋"/>
          <w:b/>
          <w:bCs/>
          <w:color w:val="auto"/>
          <w:sz w:val="24"/>
          <w:szCs w:val="24"/>
          <w:highlight w:val="none"/>
        </w:rPr>
      </w:pPr>
      <w:r>
        <w:rPr>
          <w:rFonts w:hint="eastAsia" w:ascii="宋体" w:hAnsi="宋体" w:eastAsia="宋体" w:cs="宋体"/>
          <w:b/>
          <w:bCs/>
          <w:color w:val="000000"/>
          <w:kern w:val="0"/>
          <w:sz w:val="24"/>
          <w:szCs w:val="24"/>
          <w:lang w:val="en-US" w:eastAsia="zh-CN" w:bidi="ar"/>
        </w:rPr>
        <w:t>成交单位应在领取成交通知书时参照《关于降低部分建设项目收费标准规范收费行为等有关问题的通知》(发改价格〔2011〕534 号)的规定，</w:t>
      </w:r>
      <w:r>
        <w:rPr>
          <w:rFonts w:hint="eastAsia" w:ascii="新宋体" w:hAnsi="新宋体" w:eastAsia="新宋体" w:cs="新宋体"/>
          <w:b/>
          <w:bCs/>
          <w:color w:val="000000" w:themeColor="text1"/>
          <w:sz w:val="24"/>
          <w:szCs w:val="24"/>
          <w:highlight w:val="none"/>
          <w14:textFill>
            <w14:solidFill>
              <w14:schemeClr w14:val="tx1"/>
            </w14:solidFill>
          </w14:textFill>
        </w:rPr>
        <w:t>向</w:t>
      </w:r>
      <w:r>
        <w:rPr>
          <w:rFonts w:hint="eastAsia" w:ascii="新宋体" w:hAnsi="新宋体" w:eastAsia="新宋体" w:cs="新宋体"/>
          <w:b/>
          <w:bCs/>
          <w:color w:val="000000" w:themeColor="text1"/>
          <w:sz w:val="24"/>
          <w:szCs w:val="24"/>
          <w:highlight w:val="none"/>
          <w:lang w:eastAsia="zh-CN"/>
          <w14:textFill>
            <w14:solidFill>
              <w14:schemeClr w14:val="tx1"/>
            </w14:solidFill>
          </w14:textFill>
        </w:rPr>
        <w:t>丰信国际项目管理有限公司</w:t>
      </w:r>
      <w:r>
        <w:rPr>
          <w:rFonts w:hint="eastAsia" w:ascii="新宋体" w:hAnsi="新宋体" w:eastAsia="新宋体" w:cs="新宋体"/>
          <w:b/>
          <w:bCs/>
          <w:color w:val="000000" w:themeColor="text1"/>
          <w:sz w:val="24"/>
          <w:szCs w:val="24"/>
          <w:highlight w:val="none"/>
          <w14:textFill>
            <w14:solidFill>
              <w14:schemeClr w14:val="tx1"/>
            </w14:solidFill>
          </w14:textFill>
        </w:rPr>
        <w:t>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3E121B81">
      <w:pPr>
        <w:ind w:firstLine="241" w:firstLineChars="1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开户名称：</w:t>
      </w:r>
      <w:r>
        <w:rPr>
          <w:rFonts w:hint="eastAsia" w:ascii="宋体" w:hAnsi="宋体" w:cs="宋体"/>
          <w:b/>
          <w:bCs/>
          <w:sz w:val="24"/>
          <w:szCs w:val="24"/>
          <w:lang w:val="en-US" w:eastAsia="zh-CN"/>
        </w:rPr>
        <w:t>丰信国际项目管理有限公司安康分公司</w:t>
      </w:r>
      <w:r>
        <w:rPr>
          <w:rFonts w:hint="eastAsia" w:ascii="宋体" w:hAnsi="宋体" w:cs="宋体"/>
          <w:b/>
          <w:bCs/>
          <w:color w:val="auto"/>
          <w:sz w:val="24"/>
          <w:szCs w:val="24"/>
          <w:highlight w:val="none"/>
          <w:lang w:eastAsia="zh-CN"/>
        </w:rPr>
        <w:t xml:space="preserve"> </w:t>
      </w:r>
    </w:p>
    <w:p w14:paraId="6557A4B1">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银行账号：</w:t>
      </w:r>
      <w:r>
        <w:rPr>
          <w:rFonts w:hint="eastAsia" w:ascii="宋体" w:hAnsi="宋体" w:cs="宋体"/>
          <w:b/>
          <w:bCs/>
          <w:sz w:val="24"/>
          <w:szCs w:val="24"/>
          <w:lang w:eastAsia="zh-CN"/>
        </w:rPr>
        <w:t>2607060409200120030</w:t>
      </w:r>
    </w:p>
    <w:p w14:paraId="0052E7CA">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开户行：</w:t>
      </w:r>
      <w:r>
        <w:rPr>
          <w:rFonts w:hint="eastAsia" w:ascii="宋体" w:hAnsi="宋体" w:cs="宋体"/>
          <w:b/>
          <w:bCs/>
          <w:sz w:val="24"/>
          <w:szCs w:val="24"/>
          <w:lang w:eastAsia="zh-CN"/>
        </w:rPr>
        <w:t>中国工商银行股份有限公司安康高新支行</w:t>
      </w:r>
    </w:p>
    <w:p w14:paraId="12E88A42">
      <w:pPr>
        <w:keepNext w:val="0"/>
        <w:keepLines w:val="0"/>
        <w:pageBreakBefore w:val="0"/>
        <w:kinsoku/>
        <w:wordWrap/>
        <w:overflowPunct/>
        <w:topLinePunct w:val="0"/>
        <w:autoSpaceDE/>
        <w:autoSpaceDN/>
        <w:bidi w:val="0"/>
        <w:spacing w:line="340" w:lineRule="exact"/>
        <w:jc w:val="both"/>
        <w:textAlignment w:val="auto"/>
        <w:rPr>
          <w:rFonts w:hint="eastAsia" w:ascii="宋体" w:hAnsi="宋体" w:eastAsia="宋体" w:cs="宋体"/>
          <w:color w:val="000000" w:themeColor="text1"/>
          <w:sz w:val="24"/>
          <w:szCs w:val="24"/>
          <w:u w:val="none"/>
          <w14:textFill>
            <w14:solidFill>
              <w14:schemeClr w14:val="tx1"/>
            </w14:solidFill>
          </w14:textFill>
        </w:rPr>
      </w:pPr>
    </w:p>
    <w:p w14:paraId="647CA5A0">
      <w:pPr>
        <w:keepNext w:val="0"/>
        <w:keepLines w:val="0"/>
        <w:pageBreakBefore w:val="0"/>
        <w:kinsoku/>
        <w:wordWrap/>
        <w:overflowPunct/>
        <w:topLinePunct w:val="0"/>
        <w:autoSpaceDE/>
        <w:autoSpaceDN/>
        <w:bidi w:val="0"/>
        <w:spacing w:line="340" w:lineRule="exact"/>
        <w:textAlignment w:val="auto"/>
        <w:rPr>
          <w:rFonts w:hint="eastAsia" w:ascii="宋体" w:hAnsi="宋体" w:eastAsia="宋体" w:cs="宋体"/>
          <w:color w:val="000000" w:themeColor="text1"/>
          <w:sz w:val="24"/>
          <w:szCs w:val="24"/>
          <w14:textFill>
            <w14:solidFill>
              <w14:schemeClr w14:val="tx1"/>
            </w14:solidFill>
          </w14:textFill>
        </w:rPr>
      </w:pPr>
    </w:p>
    <w:p w14:paraId="2710E47E">
      <w:pPr>
        <w:pStyle w:val="11"/>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2B5CAD41">
      <w:pPr>
        <w:pStyle w:val="24"/>
        <w:rPr>
          <w:rFonts w:hint="eastAsia" w:ascii="宋体" w:hAnsi="宋体" w:cs="宋体"/>
          <w:b/>
          <w:bCs/>
          <w:color w:val="auto"/>
          <w:spacing w:val="10"/>
          <w:kern w:val="44"/>
          <w:sz w:val="32"/>
          <w:szCs w:val="32"/>
        </w:rPr>
      </w:pPr>
    </w:p>
    <w:p w14:paraId="1FC931AC">
      <w:pPr>
        <w:rPr>
          <w:rFonts w:hint="eastAsia" w:ascii="宋体" w:hAnsi="宋体" w:cs="宋体"/>
          <w:b/>
          <w:bCs/>
          <w:color w:val="auto"/>
          <w:spacing w:val="10"/>
          <w:kern w:val="44"/>
          <w:sz w:val="32"/>
          <w:szCs w:val="32"/>
        </w:rPr>
      </w:pPr>
    </w:p>
    <w:p w14:paraId="74779C67">
      <w:pPr>
        <w:rPr>
          <w:rFonts w:hint="eastAsia" w:ascii="宋体" w:hAnsi="宋体" w:cs="宋体"/>
          <w:b/>
          <w:bCs/>
          <w:color w:val="auto"/>
          <w:spacing w:val="10"/>
          <w:kern w:val="44"/>
          <w:sz w:val="32"/>
          <w:szCs w:val="32"/>
        </w:rPr>
      </w:pPr>
    </w:p>
    <w:p w14:paraId="7DA7BDA4">
      <w:pPr>
        <w:pStyle w:val="61"/>
        <w:rPr>
          <w:rFonts w:hint="eastAsia"/>
        </w:rPr>
      </w:pPr>
    </w:p>
    <w:p w14:paraId="28156DF6">
      <w:pPr>
        <w:pStyle w:val="11"/>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5"/>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ascii="宋体" w:hAnsi="宋体" w:cs="宋体"/>
                <w:b/>
                <w:bCs/>
                <w:color w:val="auto"/>
                <w:kern w:val="0"/>
                <w:sz w:val="24"/>
                <w:szCs w:val="24"/>
              </w:rPr>
              <w:t>1</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镇坪县自然资源局（不动产登记局）</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ascii="宋体"/>
                <w:b/>
                <w:bCs/>
                <w:color w:val="auto"/>
                <w:sz w:val="24"/>
                <w:szCs w:val="24"/>
              </w:rPr>
            </w:pPr>
            <w:r>
              <w:rPr>
                <w:rFonts w:ascii="宋体" w:hAnsi="宋体" w:cs="宋体"/>
                <w:b/>
                <w:bCs/>
                <w:color w:val="auto"/>
                <w:sz w:val="24"/>
                <w:szCs w:val="24"/>
              </w:rPr>
              <w:t>2</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color w:val="000000" w:themeColor="text1"/>
                <w:sz w:val="24"/>
                <w:szCs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镇坪县永久基本农田调整补划方案编制技术服务项目</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具体服务内容及要求 详</w:t>
            </w:r>
            <w:bookmarkStart w:id="72" w:name="_GoBack"/>
            <w:bookmarkEnd w:id="72"/>
            <w:r>
              <w:rPr>
                <w:rFonts w:hint="eastAsia" w:ascii="宋体" w:hAnsi="宋体" w:cs="宋体"/>
                <w:color w:val="000000" w:themeColor="text1"/>
                <w:sz w:val="24"/>
                <w:lang w:val="en-US" w:eastAsia="zh-CN"/>
                <w14:textFill>
                  <w14:solidFill>
                    <w14:schemeClr w14:val="tx1"/>
                  </w14:solidFill>
                </w14:textFill>
              </w:rPr>
              <w:t>见磋商文件第四部分服务内容及要求</w:t>
            </w:r>
            <w:r>
              <w:rPr>
                <w:rFonts w:hint="eastAsia" w:ascii="宋体" w:hAnsi="宋体" w:cs="宋体"/>
                <w:bCs/>
                <w:szCs w:val="24"/>
              </w:rPr>
              <w:t>）</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000000" w:themeColor="text1"/>
                <w:kern w:val="0"/>
                <w:sz w:val="24"/>
                <w:szCs w:val="24"/>
                <w14:textFill>
                  <w14:solidFill>
                    <w14:schemeClr w14:val="tx1"/>
                  </w14:solidFill>
                </w14:textFill>
              </w:rPr>
            </w:pPr>
            <w:r>
              <w:rPr>
                <w:rFonts w:ascii="宋体" w:hAnsi="宋体" w:cs="宋体"/>
                <w:b/>
                <w:bCs/>
                <w:color w:val="000000" w:themeColor="text1"/>
                <w:kern w:val="0"/>
                <w:sz w:val="24"/>
                <w:szCs w:val="24"/>
                <w14:textFill>
                  <w14:solidFill>
                    <w14:schemeClr w14:val="tx1"/>
                  </w14:solidFill>
                </w14:textFill>
              </w:rPr>
              <w:t>3</w:t>
            </w:r>
          </w:p>
        </w:tc>
        <w:tc>
          <w:tcPr>
            <w:tcW w:w="1949" w:type="dxa"/>
            <w:vAlign w:val="center"/>
          </w:tcPr>
          <w:p w14:paraId="0B2E4D03">
            <w:pPr>
              <w:keepNext w:val="0"/>
              <w:keepLines w:val="0"/>
              <w:widowControl/>
              <w:suppressLineNumbers w:val="0"/>
              <w:ind w:firstLine="482" w:firstLineChars="200"/>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b/>
                <w:bCs/>
                <w:color w:val="000000"/>
                <w:kern w:val="0"/>
                <w:sz w:val="24"/>
                <w:szCs w:val="24"/>
                <w:lang w:val="en-US" w:eastAsia="zh-CN" w:bidi="ar"/>
              </w:rPr>
              <w:t>最高限价</w:t>
            </w:r>
          </w:p>
        </w:tc>
        <w:tc>
          <w:tcPr>
            <w:tcW w:w="7119" w:type="dxa"/>
            <w:vAlign w:val="center"/>
          </w:tcPr>
          <w:p w14:paraId="0B5A241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kern w:val="0"/>
                <w:sz w:val="24"/>
                <w:szCs w:val="24"/>
                <w:lang w:val="en-US" w:eastAsia="zh-CN" w:bidi="ar"/>
              </w:rPr>
              <w:t>210000.00</w:t>
            </w:r>
            <w:r>
              <w:rPr>
                <w:rFonts w:hint="eastAsia" w:ascii="宋体" w:hAnsi="宋体" w:eastAsia="宋体" w:cs="宋体"/>
                <w:color w:val="000000"/>
                <w:kern w:val="0"/>
                <w:sz w:val="24"/>
                <w:szCs w:val="24"/>
                <w:lang w:val="en-US" w:eastAsia="zh-CN" w:bidi="ar"/>
              </w:rPr>
              <w:t>元，投标人所投报价不得超出本项目最高限价，否则按无效文件处理。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32604F29">
            <w:pPr>
              <w:spacing w:line="46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服务期限</w:t>
            </w:r>
          </w:p>
        </w:tc>
        <w:tc>
          <w:tcPr>
            <w:tcW w:w="7119" w:type="dxa"/>
            <w:vAlign w:val="center"/>
          </w:tcPr>
          <w:p w14:paraId="5F62FD8E">
            <w:pPr>
              <w:keepNext w:val="0"/>
              <w:keepLines w:val="0"/>
              <w:pageBreakBefore w:val="0"/>
              <w:widowControl w:val="0"/>
              <w:kinsoku/>
              <w:wordWrap/>
              <w:overflowPunct/>
              <w:topLinePunct w:val="0"/>
              <w:autoSpaceDE/>
              <w:autoSpaceDN/>
              <w:bidi w:val="0"/>
              <w:spacing w:line="440" w:lineRule="exact"/>
              <w:outlineLvl w:val="9"/>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合同签订之日起30日历天内完成全部成果编制、外业核查、三级审核与汇交；后续配合修改、验收、入库及上级核查，服务期至验收合格为止。</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p>
        </w:tc>
        <w:tc>
          <w:tcPr>
            <w:tcW w:w="1949" w:type="dxa"/>
            <w:vAlign w:val="center"/>
          </w:tcPr>
          <w:p w14:paraId="7FBFB3E4">
            <w:pPr>
              <w:spacing w:line="460" w:lineRule="exact"/>
              <w:jc w:val="center"/>
              <w:rPr>
                <w:rFonts w:hint="eastAsia" w:ascii="宋体" w:hAnsi="宋体" w:cs="仿宋"/>
                <w:b/>
                <w:color w:val="000000" w:themeColor="text1"/>
                <w:kern w:val="0"/>
                <w:sz w:val="24"/>
                <w:szCs w:val="24"/>
                <w:lang w:val="en-US" w:eastAsia="zh-CN"/>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质量要求</w:t>
            </w:r>
          </w:p>
        </w:tc>
        <w:tc>
          <w:tcPr>
            <w:tcW w:w="7119" w:type="dxa"/>
            <w:vAlign w:val="center"/>
          </w:tcPr>
          <w:p w14:paraId="03488D10">
            <w:pPr>
              <w:spacing w:line="600" w:lineRule="exact"/>
              <w:rPr>
                <w:rFonts w:hint="eastAsia" w:ascii="宋体" w:hAnsi="宋体" w:cs="宋体"/>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符合现行国家法律法规及行业规范标准。</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6</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7</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2DAB24A2">
            <w:pPr>
              <w:keepNext w:val="0"/>
              <w:keepLines w:val="0"/>
              <w:pageBreakBefore w:val="0"/>
              <w:kinsoku/>
              <w:wordWrap/>
              <w:overflowPunct/>
              <w:topLinePunct w:val="0"/>
              <w:autoSpaceDE/>
              <w:autoSpaceDN/>
              <w:bidi w:val="0"/>
              <w:spacing w:line="43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14D2F5C6">
            <w:pPr>
              <w:keepNext w:val="0"/>
              <w:keepLines w:val="0"/>
              <w:pageBreakBefore w:val="0"/>
              <w:widowControl/>
              <w:kinsoku/>
              <w:wordWrap/>
              <w:overflowPunct/>
              <w:topLinePunct w:val="0"/>
              <w:autoSpaceDE/>
              <w:autoSpaceDN/>
              <w:bidi w:val="0"/>
              <w:adjustRightInd w:val="0"/>
              <w:snapToGrid w:val="0"/>
              <w:spacing w:after="0" w:line="43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49B75975">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（2）特定资格条件：</w:t>
            </w:r>
          </w:p>
          <w:bookmarkEnd w:id="9"/>
          <w:p w14:paraId="2161732B">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494207065"/>
            <w:bookmarkStart w:id="11" w:name="_Toc7490"/>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672FB87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2、法定代表人授权书（附法定代表人身份证复印件）及被授权人身份证复印件（法定代表人直接参加投标只须提供法定代表人身份证复印件）；</w:t>
            </w:r>
          </w:p>
          <w:p w14:paraId="3BFEA5ED">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财务审计报告：</w:t>
            </w:r>
            <w:r>
              <w:rPr>
                <w:rFonts w:hint="eastAsia" w:ascii="宋体" w:hAnsi="宋体" w:eastAsia="宋体" w:cs="宋体"/>
                <w:color w:val="000000" w:themeColor="text1"/>
                <w:sz w:val="24"/>
                <w:szCs w:val="24"/>
                <w:lang w:val="en-US" w:eastAsia="zh-CN"/>
                <w14:textFill>
                  <w14:solidFill>
                    <w14:schemeClr w14:val="tx1"/>
                  </w14:solidFill>
                </w14:textFill>
              </w:rPr>
              <w:t>提供2024</w:t>
            </w:r>
            <w:r>
              <w:rPr>
                <w:rFonts w:hint="eastAsia" w:ascii="宋体" w:hAnsi="宋体" w:cs="宋体"/>
                <w:color w:val="000000" w:themeColor="text1"/>
                <w:sz w:val="24"/>
                <w:szCs w:val="24"/>
                <w:lang w:val="en-US" w:eastAsia="zh-CN"/>
                <w14:textFill>
                  <w14:solidFill>
                    <w14:schemeClr w14:val="tx1"/>
                  </w14:solidFill>
                </w14:textFill>
              </w:rPr>
              <w:t>或2025</w:t>
            </w:r>
            <w:r>
              <w:rPr>
                <w:rFonts w:hint="eastAsia" w:ascii="宋体" w:hAnsi="宋体" w:eastAsia="宋体" w:cs="宋体"/>
                <w:color w:val="000000" w:themeColor="text1"/>
                <w:sz w:val="24"/>
                <w:szCs w:val="24"/>
                <w:lang w:val="en-US" w:eastAsia="zh-CN"/>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themeColor="text1"/>
                <w:sz w:val="24"/>
                <w:szCs w:val="24"/>
                <w14:textFill>
                  <w14:solidFill>
                    <w14:schemeClr w14:val="tx1"/>
                  </w14:solidFill>
                </w14:textFill>
              </w:rPr>
              <w:t>提供</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w:t>
            </w:r>
            <w:r>
              <w:rPr>
                <w:rFonts w:hint="eastAsia" w:ascii="宋体" w:hAnsi="宋体" w:eastAsia="宋体" w:cs="宋体"/>
                <w:b w:val="0"/>
                <w:bCs w:val="0"/>
                <w:color w:val="000000" w:themeColor="text1"/>
                <w:sz w:val="24"/>
                <w:szCs w:val="24"/>
                <w14:textFill>
                  <w14:solidFill>
                    <w14:schemeClr w14:val="tx1"/>
                  </w14:solidFill>
                </w14:textFill>
              </w:rPr>
              <w:t>响应文件递交截止时间前六个月内其基本账户开户银行出具的资信证明</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38A3AA1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w:t>
            </w: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p w14:paraId="74BD4CC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5、供应商须同时具有行政主管部门颁发的测绘乙级及以上(含乙级) 资质和土地规划乙级及以上(含乙级)资质；</w:t>
            </w:r>
          </w:p>
          <w:p w14:paraId="1A85177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6FADB42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2279CB0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418E58B0">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其他未列明行业</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w:t>
            </w:r>
            <w:r>
              <w:rPr>
                <w:rFonts w:hint="eastAsia" w:ascii="宋体" w:hAnsi="宋体" w:cs="宋体"/>
                <w:b/>
                <w:kern w:val="0"/>
                <w:sz w:val="24"/>
                <w:szCs w:val="20"/>
                <w:lang w:eastAsia="zh-CN"/>
              </w:rPr>
              <w:t>第三部分投标人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8</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9</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000000" w:themeColor="text1"/>
                <w:sz w:val="24"/>
                <w:szCs w:val="24"/>
                <w14:textFill>
                  <w14:solidFill>
                    <w14:schemeClr w14:val="tx1"/>
                  </w14:solidFill>
                </w14:textFill>
              </w:rPr>
            </w:pPr>
            <w:r>
              <w:rPr>
                <w:rFonts w:hint="eastAsia" w:ascii="宋体" w:hAnsi="宋体" w:cs="宋体"/>
                <w:color w:val="auto"/>
                <w:sz w:val="24"/>
                <w:szCs w:val="24"/>
              </w:rPr>
              <w:t>磋商时间：</w:t>
            </w:r>
            <w:r>
              <w:rPr>
                <w:rFonts w:hint="eastAsia" w:ascii="宋体" w:hAnsi="宋体"/>
                <w:color w:val="000000" w:themeColor="text1"/>
                <w:sz w:val="24"/>
                <w:szCs w:val="24"/>
                <w:lang w:eastAsia="zh-CN"/>
                <w14:textFill>
                  <w14:solidFill>
                    <w14:schemeClr w14:val="tx1"/>
                  </w14:solidFill>
                </w14:textFill>
              </w:rPr>
              <w:t>2026年</w:t>
            </w:r>
            <w:r>
              <w:rPr>
                <w:rFonts w:hint="eastAsia" w:ascii="宋体" w:hAnsi="宋体"/>
                <w:color w:val="000000" w:themeColor="text1"/>
                <w:sz w:val="24"/>
                <w:szCs w:val="24"/>
                <w:lang w:val="en-US" w:eastAsia="zh-CN"/>
                <w14:textFill>
                  <w14:solidFill>
                    <w14:schemeClr w14:val="tx1"/>
                  </w14:solidFill>
                </w14:textFill>
              </w:rPr>
              <w:t>06</w:t>
            </w:r>
            <w:r>
              <w:rPr>
                <w:rFonts w:hint="eastAsia" w:ascii="宋体" w:hAnsi="宋体"/>
                <w:color w:val="000000" w:themeColor="text1"/>
                <w:sz w:val="24"/>
                <w:szCs w:val="24"/>
                <w:lang w:eastAsia="zh-CN"/>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23</w:t>
            </w:r>
            <w:r>
              <w:rPr>
                <w:rFonts w:hint="eastAsia" w:ascii="宋体" w:hAnsi="宋体"/>
                <w:color w:val="000000" w:themeColor="text1"/>
                <w:sz w:val="24"/>
                <w:szCs w:val="24"/>
                <w:lang w:eastAsia="zh-CN"/>
                <w14:textFill>
                  <w14:solidFill>
                    <w14:schemeClr w14:val="tx1"/>
                  </w14:solidFill>
                </w14:textFill>
              </w:rPr>
              <w:t>日</w:t>
            </w:r>
            <w:r>
              <w:rPr>
                <w:rFonts w:hint="eastAsia" w:ascii="宋体" w:hAnsi="宋体"/>
                <w:color w:val="000000" w:themeColor="text1"/>
                <w:sz w:val="24"/>
                <w:szCs w:val="24"/>
                <w:lang w:val="en-US" w:eastAsia="zh-CN"/>
                <w14:textFill>
                  <w14:solidFill>
                    <w14:schemeClr w14:val="tx1"/>
                  </w14:solidFill>
                </w14:textFill>
              </w:rPr>
              <w:t>下</w:t>
            </w:r>
            <w:r>
              <w:rPr>
                <w:rFonts w:hint="eastAsia" w:ascii="宋体" w:hAnsi="宋体"/>
                <w:color w:val="000000" w:themeColor="text1"/>
                <w:sz w:val="24"/>
                <w:szCs w:val="24"/>
                <w:lang w:eastAsia="zh-CN"/>
                <w14:textFill>
                  <w14:solidFill>
                    <w14:schemeClr w14:val="tx1"/>
                  </w14:solidFill>
                </w14:textFill>
              </w:rPr>
              <w:t>午</w:t>
            </w:r>
            <w:r>
              <w:rPr>
                <w:rFonts w:hint="eastAsia" w:ascii="宋体" w:hAnsi="宋体"/>
                <w:color w:val="000000" w:themeColor="text1"/>
                <w:sz w:val="24"/>
                <w:szCs w:val="24"/>
                <w:lang w:val="en-US" w:eastAsia="zh-CN"/>
                <w14:textFill>
                  <w14:solidFill>
                    <w14:schemeClr w14:val="tx1"/>
                  </w14:solidFill>
                </w14:textFill>
              </w:rPr>
              <w:t>15:00 （</w:t>
            </w:r>
            <w:r>
              <w:rPr>
                <w:rFonts w:hint="eastAsia" w:ascii="宋体" w:hAnsi="宋体" w:cs="宋体"/>
                <w:color w:val="000000" w:themeColor="text1"/>
                <w:sz w:val="24"/>
                <w:szCs w:val="24"/>
                <w14:textFill>
                  <w14:solidFill>
                    <w14:schemeClr w14:val="tx1"/>
                  </w14:solidFill>
                </w14:textFill>
              </w:rPr>
              <w:t>同</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截止时间）</w:t>
            </w:r>
          </w:p>
          <w:p w14:paraId="6512604D">
            <w:pPr>
              <w:pStyle w:val="23"/>
              <w:keepNext w:val="0"/>
              <w:keepLines w:val="0"/>
              <w:pageBreakBefore w:val="0"/>
              <w:kinsoku/>
              <w:wordWrap/>
              <w:overflowPunct/>
              <w:topLinePunct w:val="0"/>
              <w:autoSpaceDE/>
              <w:autoSpaceDN/>
              <w:bidi w:val="0"/>
              <w:spacing w:before="0" w:beforeAutospacing="0" w:after="0" w:afterAutospacing="0" w:line="430" w:lineRule="exact"/>
              <w:textAlignment w:val="auto"/>
              <w:rPr>
                <w:rFonts w:cs="Times New Roman"/>
                <w:color w:val="auto"/>
                <w:sz w:val="24"/>
                <w:szCs w:val="24"/>
              </w:rPr>
            </w:pPr>
            <w:r>
              <w:rPr>
                <w:rFonts w:hint="eastAsia"/>
                <w:color w:val="000000" w:themeColor="text1"/>
                <w:sz w:val="24"/>
                <w:szCs w:val="24"/>
                <w14:textFill>
                  <w14:solidFill>
                    <w14:schemeClr w14:val="tx1"/>
                  </w14:solidFill>
                </w14:textFill>
              </w:rPr>
              <w:t>磋商地点：</w:t>
            </w:r>
            <w:r>
              <w:rPr>
                <w:rFonts w:hint="eastAsia" w:cs="Times New Roman"/>
                <w:snapToGrid w:val="0"/>
                <w:sz w:val="24"/>
                <w:highlight w:val="none"/>
                <w:lang w:eastAsia="zh-CN"/>
              </w:rPr>
              <w:t>丰信国际项目管理有限公司会议室（陕西省安康市高新技术产业开发区江北办事处张岭村六组268号）</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cs="宋体"/>
                <w:b/>
                <w:bCs/>
                <w:color w:val="000000" w:themeColor="text1"/>
                <w:sz w:val="24"/>
                <w:szCs w:val="24"/>
                <w:highlight w:val="none"/>
                <w:lang w:eastAsia="zh-CN"/>
                <w14:textFill>
                  <w14:solidFill>
                    <w14:schemeClr w14:val="tx1"/>
                  </w14:solidFill>
                </w14:textFill>
              </w:rPr>
              <w:t>2026年</w:t>
            </w:r>
            <w:r>
              <w:rPr>
                <w:rFonts w:hint="eastAsia" w:ascii="宋体" w:hAnsi="宋体" w:cs="宋体"/>
                <w:b/>
                <w:bCs/>
                <w:color w:val="000000" w:themeColor="text1"/>
                <w:sz w:val="24"/>
                <w:szCs w:val="24"/>
                <w:highlight w:val="none"/>
                <w:lang w:val="en-US" w:eastAsia="zh-CN"/>
                <w14:textFill>
                  <w14:solidFill>
                    <w14:schemeClr w14:val="tx1"/>
                  </w14:solidFill>
                </w14:textFill>
              </w:rPr>
              <w:t>06</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15：0</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15</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hint="eastAsia" w:ascii="宋体" w:hAnsi="宋体" w:cs="宋体"/>
                <w:color w:val="auto"/>
                <w:kern w:val="0"/>
                <w:sz w:val="24"/>
                <w:szCs w:val="24"/>
                <w:highlight w:val="none"/>
              </w:rPr>
              <w:t>根据《中华人民共和国政府采购法》、《政府采购货物和服务招标投标管理办法》、《政府采购竞争性磋商招标方式管理暂行办法》等有关法律规定组建磋商小组。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16</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hint="eastAsia" w:ascii="宋体" w:hAnsi="宋体" w:cs="宋体"/>
                <w:b/>
                <w:bCs/>
                <w:color w:val="auto"/>
                <w:kern w:val="0"/>
                <w:sz w:val="24"/>
                <w:szCs w:val="24"/>
              </w:rPr>
              <w:t>付款方式</w:t>
            </w:r>
          </w:p>
        </w:tc>
        <w:tc>
          <w:tcPr>
            <w:tcW w:w="7119" w:type="dxa"/>
            <w:vAlign w:val="center"/>
          </w:tcPr>
          <w:p w14:paraId="68550A5F">
            <w:pPr>
              <w:keepNext w:val="0"/>
              <w:keepLines w:val="0"/>
              <w:pageBreakBefore w:val="0"/>
              <w:widowControl w:val="0"/>
              <w:kinsoku/>
              <w:wordWrap/>
              <w:overflowPunct/>
              <w:topLinePunct w:val="0"/>
              <w:autoSpaceDE/>
              <w:autoSpaceDN/>
              <w:bidi w:val="0"/>
              <w:spacing w:line="430" w:lineRule="exact"/>
              <w:ind w:left="0" w:leftChars="0" w:right="0" w:rightChars="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sz w:val="24"/>
              </w:rPr>
              <w:t>双方在合同中商榷</w:t>
            </w:r>
            <w:r>
              <w:rPr>
                <w:rFonts w:hint="eastAsia" w:ascii="宋体" w:hAnsi="宋体" w:cs="宋体"/>
                <w:color w:val="auto"/>
                <w:sz w:val="24"/>
                <w:lang w:eastAsia="zh-CN"/>
              </w:rPr>
              <w:t>。</w:t>
            </w:r>
          </w:p>
        </w:tc>
      </w:tr>
      <w:tr w14:paraId="4956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4BA16F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17</w:t>
            </w:r>
          </w:p>
        </w:tc>
        <w:tc>
          <w:tcPr>
            <w:tcW w:w="1949" w:type="dxa"/>
            <w:vAlign w:val="center"/>
          </w:tcPr>
          <w:p w14:paraId="2CDA6AB1">
            <w:pPr>
              <w:adjustRightInd w:val="0"/>
              <w:snapToGrid w:val="0"/>
              <w:spacing w:line="480" w:lineRule="exact"/>
              <w:jc w:val="center"/>
              <w:rPr>
                <w:rFonts w:hint="eastAsia" w:ascii="宋体" w:hAnsi="宋体" w:eastAsia="宋体" w:cs="Calibri"/>
                <w:b/>
                <w:color w:val="000000"/>
                <w:kern w:val="0"/>
                <w:sz w:val="24"/>
                <w:szCs w:val="24"/>
                <w:lang w:val="en-US" w:eastAsia="zh-CN" w:bidi="ar-SA"/>
              </w:rPr>
            </w:pPr>
            <w:r>
              <w:rPr>
                <w:rFonts w:ascii="宋体" w:hAnsi="宋体" w:eastAsia="宋体" w:cs="宋体"/>
                <w:b/>
                <w:bCs/>
                <w:color w:val="000000"/>
                <w:sz w:val="24"/>
                <w:szCs w:val="24"/>
              </w:rPr>
              <w:t>知识产权</w:t>
            </w:r>
          </w:p>
        </w:tc>
        <w:tc>
          <w:tcPr>
            <w:tcW w:w="7119" w:type="dxa"/>
            <w:vAlign w:val="center"/>
          </w:tcPr>
          <w:p w14:paraId="208E0CC1">
            <w:pPr>
              <w:spacing w:line="480" w:lineRule="exact"/>
              <w:rPr>
                <w:rFonts w:hint="eastAsia" w:ascii="宋体" w:hAnsi="宋体" w:eastAsia="宋体" w:cs="仿宋"/>
                <w:color w:val="000000"/>
                <w:kern w:val="0"/>
                <w:sz w:val="24"/>
                <w:szCs w:val="24"/>
                <w:lang w:val="en-US" w:eastAsia="zh-CN" w:bidi="ar-SA"/>
              </w:rPr>
            </w:pPr>
            <w:r>
              <w:rPr>
                <w:rFonts w:ascii="宋体" w:hAnsi="宋体" w:eastAsia="宋体" w:cs="宋体"/>
                <w:b w:val="0"/>
                <w:bCs w:val="0"/>
                <w:color w:val="000000"/>
                <w:sz w:val="24"/>
                <w:szCs w:val="24"/>
              </w:rPr>
              <w:t>构成本竞争性磋商文件各个组成部分的文件，未经采购人书面同意，投标人不得擅自复印和用于非本招标 项目所需的其他目的。采购人全部或者部分使用未成 交单位响应文件中的技术成果或技术方案时，需征得其书面同意，并不得擅自复印或提供给第三人。 成交单位须保障采购人在使用文件或其任何一部分时不受到第三方关于侵犯专利权、商标权或工业设计权 等知识产权的指控。如果任何第三方提出侵权指控与采购人无关，成交单位须与第三方交涉并承担可能发生的责任与一切费用。如采购人因此而遭致损失的，成交单位应赔偿该损失</w:t>
            </w:r>
          </w:p>
        </w:tc>
      </w:tr>
      <w:tr w14:paraId="16345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6E5F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shd w:val="clear" w:color="auto" w:fill="auto"/>
            <w:vAlign w:val="center"/>
          </w:tcPr>
          <w:p w14:paraId="33563F06">
            <w:pPr>
              <w:adjustRightInd w:val="0"/>
              <w:snapToGrid w:val="0"/>
              <w:spacing w:line="480" w:lineRule="exact"/>
              <w:jc w:val="center"/>
              <w:rPr>
                <w:rFonts w:hint="eastAsia" w:ascii="宋体" w:hAnsi="宋体" w:eastAsia="宋体" w:cs="宋体"/>
                <w:b/>
                <w:bCs/>
                <w:kern w:val="0"/>
                <w:sz w:val="24"/>
                <w:szCs w:val="24"/>
                <w:lang w:val="en-US" w:eastAsia="zh-CN" w:bidi="ar-SA"/>
              </w:rPr>
            </w:pPr>
            <w:r>
              <w:rPr>
                <w:rFonts w:ascii="宋体" w:hAnsi="宋体" w:eastAsia="宋体" w:cs="宋体"/>
                <w:b/>
                <w:bCs/>
                <w:color w:val="000000"/>
                <w:sz w:val="24"/>
                <w:szCs w:val="24"/>
              </w:rPr>
              <w:t>现场踏勘</w:t>
            </w:r>
          </w:p>
        </w:tc>
        <w:tc>
          <w:tcPr>
            <w:tcW w:w="7119" w:type="dxa"/>
            <w:shd w:val="clear" w:color="auto" w:fill="auto"/>
            <w:vAlign w:val="center"/>
          </w:tcPr>
          <w:p w14:paraId="237320D1">
            <w:pPr>
              <w:spacing w:line="480" w:lineRule="exact"/>
              <w:rPr>
                <w:rFonts w:hint="eastAsia" w:ascii="宋体" w:hAnsi="宋体" w:eastAsia="宋体" w:cs="宋体"/>
                <w:kern w:val="2"/>
                <w:sz w:val="24"/>
                <w:szCs w:val="24"/>
                <w:lang w:val="en-US" w:eastAsia="zh-CN" w:bidi="ar-SA"/>
              </w:rPr>
            </w:pPr>
            <w:r>
              <w:rPr>
                <w:rFonts w:ascii="宋体" w:hAnsi="宋体" w:eastAsia="宋体" w:cs="宋体"/>
                <w:b w:val="0"/>
                <w:bCs w:val="0"/>
                <w:color w:val="000000"/>
                <w:sz w:val="24"/>
                <w:szCs w:val="24"/>
              </w:rPr>
              <w:t>自行踏勘，未踏勘现场造成的一切后果由投标人自行 承担。（一切费用自理）。</w:t>
            </w:r>
          </w:p>
        </w:tc>
      </w:tr>
      <w:tr w14:paraId="14EC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83E188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vAlign w:val="center"/>
          </w:tcPr>
          <w:p w14:paraId="026A2826">
            <w:pPr>
              <w:adjustRightInd w:val="0"/>
              <w:snapToGrid w:val="0"/>
              <w:spacing w:line="480" w:lineRule="exact"/>
              <w:jc w:val="center"/>
              <w:rPr>
                <w:rFonts w:hint="eastAsia" w:ascii="宋体" w:hAnsi="宋体" w:cs="宋体"/>
                <w:b/>
                <w:color w:val="auto"/>
                <w:kern w:val="0"/>
                <w:sz w:val="24"/>
                <w:szCs w:val="24"/>
                <w:highlight w:val="none"/>
              </w:rPr>
            </w:pPr>
            <w:r>
              <w:rPr>
                <w:rStyle w:val="55"/>
                <w:rFonts w:hint="eastAsia" w:hAnsi="宋体"/>
                <w:b/>
                <w:bCs/>
                <w:color w:val="auto"/>
                <w:kern w:val="2"/>
                <w:sz w:val="24"/>
                <w:szCs w:val="24"/>
                <w:lang w:val="en-US" w:eastAsia="zh-CN" w:bidi="ar-SA"/>
              </w:rPr>
              <w:t>招标代理服务费</w:t>
            </w:r>
          </w:p>
        </w:tc>
        <w:tc>
          <w:tcPr>
            <w:tcW w:w="7119" w:type="dxa"/>
            <w:vAlign w:val="center"/>
          </w:tcPr>
          <w:p w14:paraId="507A9CCD">
            <w:pPr>
              <w:pStyle w:val="24"/>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textAlignment w:val="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招标代理服务费的计算方法：依据关于降低部分建设项目收费标准规范收费行为等有关问题的通知》(发改价格〔2011〕534 号)的规定，向</w:t>
            </w:r>
            <w:r>
              <w:rPr>
                <w:rFonts w:hint="eastAsia" w:ascii="宋体" w:hAnsi="宋体" w:cs="宋体"/>
                <w:sz w:val="24"/>
                <w:szCs w:val="24"/>
                <w:lang w:val="en-US" w:eastAsia="zh-CN" w:bidi="ar-SA"/>
              </w:rPr>
              <w:t>丰信国际项目管理有限公司</w:t>
            </w:r>
            <w:r>
              <w:rPr>
                <w:rFonts w:hint="eastAsia" w:ascii="宋体" w:hAnsi="宋体" w:eastAsia="宋体" w:cs="宋体"/>
                <w:sz w:val="24"/>
                <w:szCs w:val="24"/>
                <w:lang w:val="en-US" w:eastAsia="zh-CN" w:bidi="ar-SA"/>
              </w:rPr>
              <w:t>缴纳成交服务费。</w:t>
            </w:r>
          </w:p>
          <w:p w14:paraId="3247BA27">
            <w:pPr>
              <w:pStyle w:val="2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2.采购代理服务费缴纳账户：</w:t>
            </w:r>
          </w:p>
          <w:p w14:paraId="2E7CDD30">
            <w:pPr>
              <w:pStyle w:val="2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开户名称：丰信国际项目管理有限公司安康分公司</w:t>
            </w:r>
          </w:p>
          <w:p w14:paraId="0E07E989">
            <w:pPr>
              <w:pStyle w:val="2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银行账号：2607060409200120030</w:t>
            </w:r>
          </w:p>
          <w:p w14:paraId="597D27CB">
            <w:pPr>
              <w:pStyle w:val="24"/>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sz w:val="24"/>
                <w:szCs w:val="24"/>
                <w:lang w:val="en-US" w:eastAsia="zh-CN" w:bidi="ar-SA"/>
              </w:rPr>
              <w:t>开户行：中国工商银行股份有限公司安康高新支行</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134868F5">
            <w:pPr>
              <w:adjustRightInd w:val="0"/>
              <w:snapToGrid w:val="0"/>
              <w:spacing w:line="480" w:lineRule="exact"/>
              <w:jc w:val="center"/>
              <w:rPr>
                <w:rStyle w:val="55"/>
                <w:rFonts w:hint="default" w:hAnsi="宋体"/>
                <w:b/>
                <w:bCs/>
                <w:color w:val="auto"/>
                <w:kern w:val="2"/>
                <w:sz w:val="24"/>
                <w:szCs w:val="24"/>
                <w:lang w:val="en-US" w:eastAsia="zh-CN" w:bidi="ar-SA"/>
              </w:rPr>
            </w:pPr>
            <w:r>
              <w:rPr>
                <w:rStyle w:val="55"/>
                <w:rFonts w:hint="eastAsia" w:hAnsi="宋体"/>
                <w:b/>
                <w:bCs/>
                <w:color w:val="auto"/>
                <w:kern w:val="2"/>
                <w:sz w:val="24"/>
                <w:szCs w:val="24"/>
                <w:lang w:val="en-US" w:eastAsia="zh-CN" w:bidi="ar-SA"/>
              </w:rPr>
              <w:t>本项目所属行业划分</w:t>
            </w:r>
          </w:p>
        </w:tc>
        <w:tc>
          <w:tcPr>
            <w:tcW w:w="7119" w:type="dxa"/>
            <w:vAlign w:val="center"/>
          </w:tcPr>
          <w:p w14:paraId="63209EF2">
            <w:pPr>
              <w:pStyle w:val="3"/>
              <w:keepNext w:val="0"/>
              <w:keepLines w:val="0"/>
              <w:widowControl/>
              <w:shd w:val="clear" w:color="auto" w:fill="FFFFFF"/>
              <w:spacing w:before="0" w:after="0" w:line="480" w:lineRule="exact"/>
              <w:ind w:left="0" w:leftChars="0" w:firstLine="0" w:firstLineChars="0"/>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其他未列明行业</w:t>
            </w:r>
          </w:p>
          <w:p w14:paraId="3A269425">
            <w:pPr>
              <w:rPr>
                <w:rFonts w:hint="default"/>
                <w:lang w:val="en-US" w:eastAsia="zh-CN"/>
              </w:rPr>
            </w:pPr>
            <w:r>
              <w:rPr>
                <w:rFonts w:ascii="宋体" w:hAnsi="宋体" w:eastAsia="宋体" w:cs="宋体"/>
                <w:sz w:val="24"/>
                <w:szCs w:val="24"/>
              </w:rPr>
              <w:t>从业人员 300 人以下的为中小微型企业。其中，从业人员100 人及以上的为中型企业；从业人员 10 人及以上的为小型企业；从业人员10人以下的为微型企业。</w:t>
            </w:r>
          </w:p>
        </w:tc>
      </w:tr>
    </w:tbl>
    <w:p w14:paraId="47A0BFBE">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453858058"/>
      <w:bookmarkStart w:id="13" w:name="_Toc470876868"/>
      <w:bookmarkStart w:id="14" w:name="_Toc453917521"/>
      <w:bookmarkStart w:id="15" w:name="_Toc385234429"/>
      <w:bookmarkStart w:id="16" w:name="_Toc453917614"/>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385234430"/>
      <w:bookmarkStart w:id="18" w:name="_Toc453858059"/>
      <w:bookmarkStart w:id="19" w:name="_Toc453917615"/>
      <w:bookmarkStart w:id="20" w:name="_Toc453917522"/>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4288FBB8">
      <w:pPr>
        <w:adjustRightInd w:val="0"/>
        <w:snapToGrid w:val="0"/>
        <w:spacing w:line="440" w:lineRule="exact"/>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本次采购依据《中华人民共和国政府采购法》、《中华人民共和国招标投标法》、《政府采购货物和服务招标投标管理办法》（财政部令第</w:t>
      </w:r>
      <w:r>
        <w:rPr>
          <w:rFonts w:ascii="宋体" w:hAnsi="宋体"/>
          <w:color w:val="auto"/>
          <w:kern w:val="0"/>
          <w:sz w:val="24"/>
          <w:szCs w:val="24"/>
          <w:highlight w:val="none"/>
        </w:rPr>
        <w:t>87</w:t>
      </w:r>
      <w:r>
        <w:rPr>
          <w:rFonts w:hint="eastAsia" w:ascii="宋体" w:hAnsi="宋体"/>
          <w:color w:val="auto"/>
          <w:kern w:val="0"/>
          <w:sz w:val="24"/>
          <w:szCs w:val="24"/>
          <w:highlight w:val="none"/>
        </w:rPr>
        <w:t>号）、《政府采购竞争性磋商招标方式管理暂行办法》（财库〔</w:t>
      </w:r>
      <w:r>
        <w:rPr>
          <w:rFonts w:ascii="宋体" w:hAnsi="宋体"/>
          <w:color w:val="auto"/>
          <w:kern w:val="0"/>
          <w:sz w:val="24"/>
          <w:szCs w:val="24"/>
          <w:highlight w:val="none"/>
        </w:rPr>
        <w:t>2014</w:t>
      </w:r>
      <w:r>
        <w:rPr>
          <w:rFonts w:hint="eastAsia" w:ascii="宋体" w:hAnsi="宋体"/>
          <w:color w:val="auto"/>
          <w:kern w:val="0"/>
          <w:sz w:val="24"/>
          <w:szCs w:val="24"/>
          <w:highlight w:val="none"/>
        </w:rPr>
        <w:t>〕</w:t>
      </w:r>
      <w:r>
        <w:rPr>
          <w:rFonts w:ascii="宋体" w:hAnsi="宋体"/>
          <w:color w:val="auto"/>
          <w:kern w:val="0"/>
          <w:sz w:val="24"/>
          <w:szCs w:val="24"/>
          <w:highlight w:val="none"/>
        </w:rPr>
        <w:t>214</w:t>
      </w:r>
      <w:r>
        <w:rPr>
          <w:rFonts w:hint="eastAsia" w:ascii="宋体" w:hAnsi="宋体"/>
          <w:color w:val="auto"/>
          <w:kern w:val="0"/>
          <w:sz w:val="24"/>
          <w:szCs w:val="24"/>
          <w:highlight w:val="none"/>
        </w:rPr>
        <w:t>号</w:t>
      </w:r>
      <w:r>
        <w:rPr>
          <w:rFonts w:ascii="宋体" w:hAnsi="宋体"/>
          <w:color w:val="auto"/>
          <w:kern w:val="0"/>
          <w:sz w:val="24"/>
          <w:szCs w:val="24"/>
          <w:highlight w:val="none"/>
        </w:rPr>
        <w:t>)</w:t>
      </w:r>
      <w:r>
        <w:rPr>
          <w:rFonts w:hint="eastAsia" w:ascii="宋体" w:hAnsi="宋体"/>
          <w:color w:val="auto"/>
          <w:kern w:val="0"/>
          <w:sz w:val="24"/>
          <w:szCs w:val="24"/>
          <w:highlight w:val="none"/>
        </w:rPr>
        <w:t>及国家现行有关法律法规执行。</w:t>
      </w:r>
    </w:p>
    <w:p w14:paraId="2CDB681B">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rPr>
          <w:rFonts w:ascii="宋体"/>
          <w:kern w:val="0"/>
          <w:sz w:val="24"/>
          <w:szCs w:val="24"/>
        </w:rPr>
      </w:pPr>
      <w:r>
        <w:rPr>
          <w:rFonts w:ascii="宋体" w:hAnsi="宋体" w:cs="宋体"/>
          <w:b/>
          <w:bCs/>
          <w:color w:val="auto"/>
          <w:kern w:val="0"/>
          <w:sz w:val="24"/>
          <w:szCs w:val="24"/>
        </w:rPr>
        <w:t xml:space="preserve">3.1.1 </w:t>
      </w:r>
      <w:r>
        <w:rPr>
          <w:rFonts w:hint="eastAsia" w:ascii="宋体" w:hAnsi="宋体"/>
          <w:kern w:val="0"/>
          <w:sz w:val="24"/>
          <w:szCs w:val="24"/>
        </w:rPr>
        <w:t>依照《中华人民共和国公司法》注册、符合《中华人民共和国政府采购法》第二十二条规定并具备国家规定的相关该行业必备资质，具有本项目</w:t>
      </w:r>
      <w:r>
        <w:rPr>
          <w:rFonts w:hint="eastAsia" w:ascii="宋体" w:hAnsi="宋体"/>
          <w:kern w:val="0"/>
          <w:sz w:val="24"/>
          <w:szCs w:val="24"/>
          <w:lang w:val="en-US" w:eastAsia="zh-CN"/>
        </w:rPr>
        <w:t>服务</w:t>
      </w:r>
      <w:r>
        <w:rPr>
          <w:rFonts w:hint="eastAsia" w:ascii="宋体" w:hAnsi="宋体"/>
          <w:kern w:val="0"/>
          <w:sz w:val="24"/>
          <w:szCs w:val="24"/>
        </w:rPr>
        <w:t>及实施能力，符合、承认并承诺履行本磋商文件各项规定的国内</w:t>
      </w:r>
      <w:r>
        <w:rPr>
          <w:rFonts w:hint="eastAsia" w:ascii="宋体" w:hAnsi="宋体"/>
          <w:kern w:val="0"/>
          <w:sz w:val="24"/>
          <w:szCs w:val="24"/>
          <w:lang w:eastAsia="zh-CN"/>
        </w:rPr>
        <w:t>投标人</w:t>
      </w:r>
      <w:r>
        <w:rPr>
          <w:rFonts w:hint="eastAsia" w:ascii="宋体" w:hAnsi="宋体"/>
          <w:kern w:val="0"/>
          <w:sz w:val="24"/>
          <w:szCs w:val="24"/>
        </w:rPr>
        <w:t>均可参加报价。</w:t>
      </w:r>
    </w:p>
    <w:p w14:paraId="12F40753">
      <w:pPr>
        <w:spacing w:line="440" w:lineRule="exact"/>
        <w:rPr>
          <w:rFonts w:ascii="宋体"/>
          <w:b/>
          <w:bCs/>
          <w:color w:val="auto"/>
          <w:kern w:val="0"/>
          <w:sz w:val="24"/>
          <w:szCs w:val="24"/>
        </w:rPr>
      </w:pPr>
      <w:r>
        <w:rPr>
          <w:rFonts w:ascii="宋体" w:hAnsi="宋体" w:cs="宋体"/>
          <w:b/>
          <w:bCs/>
          <w:color w:val="auto"/>
          <w:kern w:val="0"/>
          <w:sz w:val="24"/>
          <w:szCs w:val="24"/>
        </w:rPr>
        <w:t xml:space="preserve">3.1.2 </w:t>
      </w:r>
      <w:r>
        <w:rPr>
          <w:rFonts w:hint="eastAsia" w:ascii="宋体" w:hAnsi="宋体" w:cs="宋体"/>
          <w:b/>
          <w:bCs/>
          <w:color w:val="auto"/>
          <w:kern w:val="0"/>
          <w:sz w:val="24"/>
          <w:szCs w:val="24"/>
        </w:rPr>
        <w:t>资质要求</w:t>
      </w:r>
    </w:p>
    <w:p w14:paraId="6C124602">
      <w:pPr>
        <w:spacing w:line="440" w:lineRule="exact"/>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89E37F4">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① 具有独立承担民事责任的能力，提供营业执照、税务登记证、组织机构代码证或登载有统一社会信用代码的营业执照（或《事业单位法人证书》或其他合法组织登记证书、自然人只须提交身份证）；              </w:t>
      </w:r>
    </w:p>
    <w:p w14:paraId="3B91F2F1">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② 法定代表人授权书（附法定代表人身份证复印件）及被授权人身份证复印件（法定代表人直接参加投标只须提供法定代表人身份证复印件）；</w:t>
      </w:r>
    </w:p>
    <w:p w14:paraId="0EFEDFB7">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③财务审计报告：提供2024或2025年度的财务审计报告（至少包括资产负债表、利润表和现金流量表，成立时间至提交磋商响应文件截止时间不足一年的可提供成立后任意时段的企业财务报表）；或其提供磋商响应文件递交截止时间前六个月内其基本账户开户银行出具的资信证明；</w:t>
      </w:r>
    </w:p>
    <w:p w14:paraId="3E0A863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④缴纳税收和社会保障资金缴纳证明：提供2025年1月1日至今任意一个月的纳税证明或完税证明（依法免税的单位应提供相关证明材料），投标单位提供2025年1月1日至今任意一个月的社会保障资金缴存单据或社保机构开具的社会保险参保缴费情况证明（依法不需要缴纳社会保障资金的单位应提供相关证明材料）；</w:t>
      </w:r>
    </w:p>
    <w:p w14:paraId="00380D85">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⑤供应商须同时具有行政主管部门颁发的测绘乙级及以上(含乙级) 资质和土地规划乙级及以上(含乙级)资质；</w:t>
      </w:r>
    </w:p>
    <w:p w14:paraId="7DC82DDB">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⑥具有履行合同所必需的设备和专业技术能力（提供自述材料）；</w:t>
      </w:r>
    </w:p>
    <w:p w14:paraId="501DC9AA">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⑦</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72B8D1A0">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⑧本项目不接受联合体投标。</w:t>
      </w:r>
    </w:p>
    <w:p w14:paraId="69C71DE4">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⑨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w:t>
      </w:r>
      <w:r>
        <w:rPr>
          <w:rFonts w:hint="eastAsia" w:ascii="宋体" w:hAnsi="宋体" w:cs="宋体"/>
          <w:b/>
          <w:kern w:val="0"/>
          <w:sz w:val="24"/>
          <w:szCs w:val="20"/>
          <w:highlight w:val="none"/>
          <w:lang w:eastAsia="zh-CN"/>
        </w:rPr>
        <w:t>第三部分投标人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rPr>
          <w:rFonts w:ascii="宋体"/>
          <w:b/>
          <w:bCs/>
          <w:color w:val="auto"/>
          <w:sz w:val="24"/>
          <w:szCs w:val="24"/>
        </w:rPr>
      </w:pPr>
      <w:r>
        <w:rPr>
          <w:rFonts w:ascii="宋体" w:hAnsi="宋体" w:cs="宋体"/>
          <w:b/>
          <w:bCs/>
          <w:color w:val="auto"/>
          <w:sz w:val="24"/>
          <w:szCs w:val="24"/>
        </w:rPr>
        <w:t>3.2</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326251051"/>
      <w:bookmarkStart w:id="22" w:name="_Toc453917616"/>
      <w:bookmarkStart w:id="23" w:name="_Toc453917523"/>
      <w:bookmarkStart w:id="24" w:name="_Toc385234431"/>
      <w:bookmarkStart w:id="25" w:name="_Toc453858060"/>
      <w:r>
        <w:rPr>
          <w:rFonts w:hint="eastAsia" w:ascii="宋体" w:hAnsi="宋体" w:cs="宋体"/>
          <w:color w:val="auto"/>
          <w:kern w:val="0"/>
          <w:sz w:val="24"/>
          <w:szCs w:val="24"/>
        </w:rPr>
        <w:t>代理机构件不承担责任。</w:t>
      </w:r>
    </w:p>
    <w:p w14:paraId="372B4DB3">
      <w:pPr>
        <w:adjustRightInd w:val="0"/>
        <w:snapToGrid w:val="0"/>
        <w:spacing w:line="440" w:lineRule="exact"/>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FA79E9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4E8342E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p>
    <w:p w14:paraId="060317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服务内容及要求    </w:t>
      </w:r>
    </w:p>
    <w:p w14:paraId="513CEB20">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3A981F0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36E2129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6DF53825">
      <w:pPr>
        <w:snapToGrid w:val="0"/>
        <w:spacing w:line="440" w:lineRule="exact"/>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47FCC17D">
      <w:pPr>
        <w:snapToGrid w:val="0"/>
        <w:spacing w:line="440" w:lineRule="exact"/>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7025030">
      <w:pPr>
        <w:snapToGrid w:val="0"/>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s="Times New Roman"/>
          <w:b/>
          <w:bCs/>
          <w:color w:val="000000" w:themeColor="text1"/>
          <w:sz w:val="24"/>
          <w:szCs w:val="24"/>
          <w:lang w:val="en-US"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对磋商文件有质疑的，应在提交首次响应文件截止时间2日前以书面形式提出，</w:t>
      </w:r>
      <w:r>
        <w:rPr>
          <w:rFonts w:hint="eastAsia" w:ascii="宋体" w:hAnsi="宋体" w:cs="Times New Roman"/>
          <w:b/>
          <w:bCs/>
          <w:color w:val="000000" w:themeColor="text1"/>
          <w:sz w:val="24"/>
          <w:szCs w:val="24"/>
          <w:lang w:val="en-US" w:eastAsia="zh-CN"/>
          <w14:textFill>
            <w14:solidFill>
              <w14:schemeClr w14:val="tx1"/>
            </w14:solidFill>
          </w14:textFill>
        </w:rPr>
        <w:t>采购代理</w:t>
      </w:r>
      <w:r>
        <w:rPr>
          <w:rFonts w:hint="eastAsia" w:ascii="宋体" w:hAnsi="宋体" w:cs="Times New Roman"/>
          <w:b/>
          <w:bCs/>
          <w:color w:val="000000" w:themeColor="text1"/>
          <w:sz w:val="24"/>
          <w:szCs w:val="24"/>
          <w14:textFill>
            <w14:solidFill>
              <w14:schemeClr w14:val="tx1"/>
            </w14:solidFill>
          </w14:textFill>
        </w:rPr>
        <w:t>机构或采购人以书面形式予以答复；</w:t>
      </w:r>
      <w:r>
        <w:rPr>
          <w:rFonts w:hint="eastAsia" w:ascii="宋体" w:hAnsi="宋体" w:cs="Times New Roman"/>
          <w:b/>
          <w:bCs/>
          <w:color w:val="000000" w:themeColor="text1"/>
          <w:sz w:val="24"/>
          <w:szCs w:val="24"/>
          <w:lang w:eastAsia="zh-CN"/>
          <w14:textFill>
            <w14:solidFill>
              <w14:schemeClr w14:val="tx1"/>
            </w14:solidFill>
          </w14:textFill>
        </w:rPr>
        <w:t>投标人</w:t>
      </w:r>
      <w:r>
        <w:rPr>
          <w:rFonts w:hint="eastAsia" w:ascii="宋体" w:hAnsi="宋体" w:cs="Times New Roman"/>
          <w:b/>
          <w:bCs/>
          <w:color w:val="000000" w:themeColor="text1"/>
          <w:sz w:val="24"/>
          <w:szCs w:val="24"/>
          <w14:textFill>
            <w14:solidFill>
              <w14:schemeClr w14:val="tx1"/>
            </w14:solidFill>
          </w14:textFill>
        </w:rPr>
        <w:t>在规定的时间内未要求对磋商文件澄清或提出疑问的，将视为无效质疑。答复的内容可能影响响应文件编制的，在财政部门指定的政府采购信息发布媒体上发布更正公告。</w:t>
      </w:r>
    </w:p>
    <w:p w14:paraId="619FDA68">
      <w:pPr>
        <w:snapToGrid w:val="0"/>
        <w:spacing w:line="440" w:lineRule="exact"/>
        <w:rPr>
          <w:rFonts w:ascii="宋体"/>
          <w:color w:val="auto"/>
          <w:sz w:val="24"/>
          <w:szCs w:val="24"/>
        </w:rPr>
      </w:pPr>
      <w:r>
        <w:rPr>
          <w:rFonts w:hint="eastAsia" w:ascii="宋体" w:hAnsi="宋体"/>
          <w:b/>
          <w:bCs/>
          <w:color w:val="auto"/>
          <w:sz w:val="24"/>
          <w:szCs w:val="24"/>
          <w:lang w:val="en-US" w:eastAsia="zh-CN"/>
        </w:rPr>
        <w:t>7.3.4</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投标人</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D390BD">
      <w:pPr>
        <w:snapToGrid w:val="0"/>
        <w:spacing w:line="440" w:lineRule="exact"/>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均具有约束力。</w:t>
      </w:r>
      <w:bookmarkStart w:id="26" w:name="_Toc385234432"/>
      <w:bookmarkStart w:id="27" w:name="_Toc453917617"/>
      <w:bookmarkStart w:id="28" w:name="_Toc453858061"/>
      <w:bookmarkStart w:id="29" w:name="_Toc453917524"/>
    </w:p>
    <w:p w14:paraId="4D54D611">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服务方案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应按照第七部分提供的格式编写竞争性磋商响应文件，不得缺少竞争性磋商文件要求填写的表格或提交的资料。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条的内容及第七部分提供的格式编写竞争性磋商响应文件，不得缺少竞争性磋商文件要求填写的表格或提交的资料。</w:t>
      </w:r>
    </w:p>
    <w:p w14:paraId="67341A2B">
      <w:pPr>
        <w:snapToGrid w:val="0"/>
        <w:spacing w:line="440" w:lineRule="exact"/>
        <w:ind w:firstLine="482" w:firstLineChars="200"/>
        <w:rPr>
          <w:rFonts w:hint="eastAsia" w:ascii="宋体" w:hAnsi="宋体" w:eastAsia="宋体" w:cs="宋体"/>
          <w:b/>
          <w:color w:val="auto"/>
          <w:sz w:val="24"/>
          <w:szCs w:val="24"/>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w:t>
      </w:r>
      <w:r>
        <w:rPr>
          <w:rFonts w:hint="eastAsia" w:ascii="宋体" w:hAnsi="宋体" w:cs="宋体"/>
          <w:b/>
          <w:bCs/>
          <w:color w:val="auto"/>
          <w:kern w:val="0"/>
          <w:sz w:val="24"/>
          <w:szCs w:val="24"/>
          <w:lang w:val="en-US" w:eastAsia="zh-CN"/>
        </w:rPr>
        <w:t>3</w:t>
      </w:r>
      <w:r>
        <w:rPr>
          <w:rFonts w:hint="eastAsia" w:ascii="宋体" w:hAnsi="宋体" w:eastAsia="宋体" w:cs="宋体"/>
          <w:b/>
          <w:bCs/>
          <w:kern w:val="0"/>
          <w:sz w:val="24"/>
          <w:szCs w:val="24"/>
        </w:rPr>
        <w:t>纸质磋商响应文件的正本和全部的副本均须打印或用蓝（黑）色墨水书写，将响应文件采用左侧胶装方式装订成册。因字迹潦草或编排混乱导致的不利后果，由</w:t>
      </w:r>
      <w:r>
        <w:rPr>
          <w:rFonts w:hint="eastAsia" w:ascii="宋体" w:hAnsi="宋体" w:cs="宋体"/>
          <w:b/>
          <w:bCs/>
          <w:kern w:val="0"/>
          <w:sz w:val="24"/>
          <w:szCs w:val="24"/>
          <w:lang w:eastAsia="zh-CN"/>
        </w:rPr>
        <w:t>投标人</w:t>
      </w:r>
      <w:r>
        <w:rPr>
          <w:rFonts w:hint="eastAsia" w:ascii="宋体" w:hAnsi="宋体" w:eastAsia="宋体" w:cs="宋体"/>
          <w:b/>
          <w:bCs/>
          <w:kern w:val="0"/>
          <w:sz w:val="24"/>
          <w:szCs w:val="24"/>
        </w:rPr>
        <w:t>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28B3A4BE">
      <w:pPr>
        <w:adjustRightInd w:val="0"/>
        <w:snapToGrid w:val="0"/>
        <w:spacing w:line="440" w:lineRule="exact"/>
        <w:ind w:firstLine="480" w:firstLineChars="200"/>
        <w:rPr>
          <w:rFonts w:hint="eastAsia" w:ascii="宋体" w:hAnsi="宋体"/>
          <w:b/>
          <w:bCs/>
          <w:color w:val="000000" w:themeColor="text1"/>
          <w:sz w:val="24"/>
          <w:szCs w:val="24"/>
          <w:lang w:val="zh-CN"/>
          <w14:textFill>
            <w14:solidFill>
              <w14:schemeClr w14:val="tx1"/>
            </w14:solidFill>
          </w14:textFill>
        </w:rPr>
      </w:pPr>
      <w:r>
        <w:rPr>
          <w:rFonts w:hint="eastAsia" w:ascii="宋体" w:hAnsi="宋体" w:eastAsia="宋体" w:cs="Times New Roman"/>
          <w:sz w:val="24"/>
          <w:szCs w:val="24"/>
          <w:lang w:eastAsia="zh-CN"/>
        </w:rPr>
        <w:t>11.1</w:t>
      </w:r>
      <w:r>
        <w:rPr>
          <w:rFonts w:hint="eastAsia" w:ascii="宋体" w:hAnsi="宋体" w:eastAsia="宋体" w:cs="Times New Roman"/>
          <w:sz w:val="24"/>
          <w:szCs w:val="24"/>
          <w:lang w:val="en-US" w:eastAsia="zh-CN"/>
        </w:rPr>
        <w:t>投标报价是投标人响应招标项目要求的全部工作内容的价格体现，包括完成采购内容所需的直接费、间接费、利润、税金及其他相关的一切费用。投标人在报价时应充分考虑所有可能发生的费用，磋商文件未列明而投标人认为应当计取的费用，均应列入报价中，报价时不论是否计取，采购人均按已计取对待。投标人所填写的报价在合同实施期间不因市场变化因素和政府性变化因素而变动，投标人在计算报价时自行考虑风险系数。</w:t>
      </w:r>
      <w:r>
        <w:rPr>
          <w:rFonts w:hint="eastAsia" w:ascii="宋体" w:hAnsi="宋体" w:eastAsia="宋体" w:cs="Times New Roman"/>
          <w:b/>
          <w:bCs/>
          <w:sz w:val="24"/>
          <w:szCs w:val="24"/>
          <w:lang w:val="en-US" w:eastAsia="zh-CN"/>
        </w:rPr>
        <w:t>投标报价不得超过最高限价，否则按无效文件处理。</w:t>
      </w:r>
    </w:p>
    <w:p w14:paraId="1F59EF2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11.2供应商须对《采购内容及技术要求》中任何货物需求或服务要求进行完整报价，采购代理机构拒绝只对部分货物或服务进行报价的投标。供应商应在磋商响应文件中的投标分项报价表上标明对本次招标拟提供货物或服务的单价和总价。任何有选择的报价将不予接受，每种货物或服务只允许有一个报价。</w:t>
      </w:r>
    </w:p>
    <w:p w14:paraId="6811E7BA">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11.3投标分项报价表上的价格投标人应根据实际情况进行填写，所有根据合同或其它原因应由供应商支付的税款和其它应交纳的费用都要包括在供应商提交的投标价格中。</w:t>
      </w:r>
    </w:p>
    <w:p w14:paraId="2A0A1030">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11.4供应商所报的报价在合同执行过程中是固定不变的，不得以任何理由予以变更。任何包含价格调整要求的投标，将被认为是非响应性投标而予以拒绝。</w:t>
      </w:r>
    </w:p>
    <w:p w14:paraId="5A0A9F49">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val="en-US" w:eastAsia="zh-CN"/>
        </w:rPr>
        <w:t xml:space="preserve">11.5最低报价不是成交的唯一依据。 </w:t>
      </w:r>
    </w:p>
    <w:p w14:paraId="06C8F082">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11.6 响应文件中大写金额与小写金额不一致的，以大写金额为准；总价金额与单价金额不一致的，以单价金额为准，但单价金额小数点有明显错误的除外；对不同文字文本响应文件的解释发生异议的，以中文文本为准。</w:t>
      </w:r>
    </w:p>
    <w:p w14:paraId="6C2872D2">
      <w:pPr>
        <w:snapToGrid w:val="0"/>
        <w:spacing w:line="440" w:lineRule="exact"/>
        <w:ind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1</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lang w:eastAsia="zh-CN"/>
        </w:rPr>
        <w:t>投标人所填写的报价在合同实施期间不因市场变化因素和政府性变化因素而变动，投标人在计算报价时自行考虑风险系数，报价过程中不允许任一投标人对同一招标项目提出两个或两个以上不同的投标报价。投标人所报的投标报价在合同执行过程中 是固定不变的，不得以任何理由予以变更。任何包含价格调整要求的投标，将被认为是 非响应性投标而予以拒绝。</w:t>
      </w:r>
    </w:p>
    <w:p w14:paraId="3A9804E6">
      <w:pPr>
        <w:snapToGrid w:val="0"/>
        <w:spacing w:line="440" w:lineRule="exact"/>
        <w:ind w:firstLine="480" w:firstLineChars="200"/>
        <w:rPr>
          <w:rFonts w:ascii="宋体" w:hAnsi="宋体"/>
          <w:color w:val="auto"/>
          <w:sz w:val="24"/>
          <w:szCs w:val="24"/>
          <w:highlight w:val="none"/>
        </w:rPr>
      </w:pPr>
      <w:r>
        <w:rPr>
          <w:rFonts w:hint="eastAsia" w:ascii="宋体" w:hAnsi="宋体" w:eastAsia="宋体" w:cs="宋体"/>
          <w:color w:val="auto"/>
          <w:kern w:val="0"/>
          <w:sz w:val="24"/>
          <w:szCs w:val="24"/>
          <w:lang w:val="en-US" w:eastAsia="zh-CN"/>
        </w:rPr>
        <w:t>11.8</w:t>
      </w:r>
      <w:r>
        <w:rPr>
          <w:rFonts w:hint="eastAsia" w:ascii="宋体" w:hAnsi="宋体" w:eastAsia="宋体" w:cs="宋体"/>
          <w:color w:val="auto"/>
          <w:kern w:val="0"/>
          <w:sz w:val="24"/>
          <w:szCs w:val="24"/>
          <w:lang w:eastAsia="zh-CN"/>
        </w:rPr>
        <w:t>投标人不得以低于成本的报价参加投标。当</w:t>
      </w:r>
      <w:r>
        <w:rPr>
          <w:rFonts w:hint="eastAsia" w:ascii="宋体" w:hAnsi="宋体" w:eastAsia="宋体" w:cs="宋体"/>
          <w:color w:val="auto"/>
          <w:kern w:val="0"/>
          <w:sz w:val="24"/>
          <w:szCs w:val="24"/>
          <w:lang w:val="en-US" w:eastAsia="zh-CN"/>
        </w:rPr>
        <w:t>磋商</w:t>
      </w:r>
      <w:r>
        <w:rPr>
          <w:rFonts w:hint="eastAsia" w:ascii="宋体" w:hAnsi="宋体" w:eastAsia="宋体" w:cs="宋体"/>
          <w:color w:val="auto"/>
          <w:kern w:val="0"/>
          <w:sz w:val="24"/>
          <w:szCs w:val="24"/>
          <w:lang w:eastAsia="zh-CN"/>
        </w:rPr>
        <w:t>小组认为某个投标人的</w:t>
      </w:r>
      <w:r>
        <w:rPr>
          <w:rFonts w:hint="eastAsia" w:ascii="宋体" w:hAnsi="宋体" w:eastAsia="宋体" w:cs="宋体"/>
          <w:color w:val="auto"/>
          <w:kern w:val="0"/>
          <w:sz w:val="24"/>
          <w:szCs w:val="24"/>
          <w:lang w:val="en-US" w:eastAsia="zh-CN"/>
        </w:rPr>
        <w:t>磋商</w:t>
      </w:r>
      <w:r>
        <w:rPr>
          <w:rFonts w:hint="eastAsia" w:ascii="宋体" w:hAnsi="宋体" w:eastAsia="宋体" w:cs="宋体"/>
          <w:color w:val="auto"/>
          <w:kern w:val="0"/>
          <w:sz w:val="24"/>
          <w:szCs w:val="24"/>
          <w:lang w:eastAsia="zh-CN"/>
        </w:rPr>
        <w:t>报价或者某些分项报价明显不合理或者低于成本，有可能影响服务质量和不能诚信履约的，可要求该投标人在规定的期限内提供书面文件予以解释说明，并提交相关证明材料； 否则，</w:t>
      </w:r>
      <w:r>
        <w:rPr>
          <w:rFonts w:hint="eastAsia" w:ascii="宋体" w:hAnsi="宋体" w:eastAsia="宋体" w:cs="宋体"/>
          <w:color w:val="auto"/>
          <w:kern w:val="0"/>
          <w:sz w:val="24"/>
          <w:szCs w:val="24"/>
          <w:lang w:val="en-US" w:eastAsia="zh-CN"/>
        </w:rPr>
        <w:t>磋商</w:t>
      </w:r>
      <w:r>
        <w:rPr>
          <w:rFonts w:hint="eastAsia" w:ascii="宋体" w:hAnsi="宋体" w:eastAsia="宋体" w:cs="宋体"/>
          <w:color w:val="auto"/>
          <w:kern w:val="0"/>
          <w:sz w:val="24"/>
          <w:szCs w:val="24"/>
          <w:lang w:eastAsia="zh-CN"/>
        </w:rPr>
        <w:t>小组认定该投标人以低于成本报价竞标，其投标应作废标处理。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磋商响应文件有效期为磋商之日起九十（</w:t>
      </w:r>
      <w:r>
        <w:rPr>
          <w:rFonts w:ascii="宋体" w:hAnsi="宋体"/>
          <w:kern w:val="0"/>
          <w:sz w:val="24"/>
          <w:szCs w:val="24"/>
        </w:rPr>
        <w:t>90</w:t>
      </w:r>
      <w:r>
        <w:rPr>
          <w:rFonts w:hint="eastAsia" w:ascii="宋体" w:hAnsi="宋体"/>
          <w:kern w:val="0"/>
          <w:sz w:val="24"/>
          <w:szCs w:val="24"/>
        </w:rPr>
        <w:t>）个日历日。</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385234433"/>
      <w:bookmarkStart w:id="31" w:name="_Toc453917618"/>
      <w:bookmarkStart w:id="32" w:name="_Toc453917525"/>
      <w:bookmarkStart w:id="33" w:name="_Toc453858062"/>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磋商响应文件的“正本”、“副本”与“资质文件”应分开包装，封套上标记“正本”或“副本”或“资质文件”字样。封口处齐缝粘贴密封封条并加盖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丰信国际项目管理有限公司</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w:t>
      </w:r>
      <w:r>
        <w:rPr>
          <w:rFonts w:hint="eastAsia" w:ascii="宋体" w:hAnsi="宋体"/>
          <w:color w:val="000000" w:themeColor="text1"/>
          <w:kern w:val="0"/>
          <w:sz w:val="24"/>
          <w:szCs w:val="24"/>
          <w14:textFill>
            <w14:solidFill>
              <w14:schemeClr w14:val="tx1"/>
            </w14:solidFill>
          </w14:textFill>
        </w:rPr>
        <w:t>在</w:t>
      </w:r>
      <w:r>
        <w:rPr>
          <w:rFonts w:hint="eastAsia" w:ascii="宋体" w:hAnsi="宋体"/>
          <w:color w:val="000000" w:themeColor="text1"/>
          <w:kern w:val="0"/>
          <w:sz w:val="24"/>
          <w:szCs w:val="24"/>
          <w:lang w:eastAsia="zh-CN"/>
          <w14:textFill>
            <w14:solidFill>
              <w14:schemeClr w14:val="tx1"/>
            </w14:solidFill>
          </w14:textFill>
        </w:rPr>
        <w:t>2026年</w:t>
      </w:r>
      <w:r>
        <w:rPr>
          <w:rFonts w:hint="eastAsia" w:ascii="宋体" w:hAnsi="宋体"/>
          <w:color w:val="000000" w:themeColor="text1"/>
          <w:kern w:val="0"/>
          <w:sz w:val="24"/>
          <w:szCs w:val="24"/>
          <w:lang w:val="en-US" w:eastAsia="zh-CN"/>
          <w14:textFill>
            <w14:solidFill>
              <w14:schemeClr w14:val="tx1"/>
            </w14:solidFill>
          </w14:textFill>
        </w:rPr>
        <w:t>06</w:t>
      </w:r>
      <w:r>
        <w:rPr>
          <w:rFonts w:hint="eastAsia" w:ascii="宋体" w:hAnsi="宋体"/>
          <w:color w:val="000000" w:themeColor="text1"/>
          <w:kern w:val="0"/>
          <w:sz w:val="24"/>
          <w:szCs w:val="24"/>
          <w14:textFill>
            <w14:solidFill>
              <w14:schemeClr w14:val="tx1"/>
            </w14:solidFill>
          </w14:textFill>
        </w:rPr>
        <w:t>月</w:t>
      </w:r>
      <w:r>
        <w:rPr>
          <w:rFonts w:hint="eastAsia" w:ascii="宋体" w:hAnsi="宋体"/>
          <w:color w:val="000000" w:themeColor="text1"/>
          <w:kern w:val="0"/>
          <w:sz w:val="24"/>
          <w:szCs w:val="24"/>
          <w:lang w:val="en-US" w:eastAsia="zh-CN"/>
          <w14:textFill>
            <w14:solidFill>
              <w14:schemeClr w14:val="tx1"/>
            </w14:solidFill>
          </w14:textFill>
        </w:rPr>
        <w:t>23</w:t>
      </w:r>
      <w:r>
        <w:rPr>
          <w:rFonts w:hint="eastAsia" w:ascii="宋体" w:hAnsi="宋体"/>
          <w:color w:val="000000" w:themeColor="text1"/>
          <w:kern w:val="0"/>
          <w:sz w:val="24"/>
          <w:szCs w:val="24"/>
          <w14:textFill>
            <w14:solidFill>
              <w14:schemeClr w14:val="tx1"/>
            </w14:solidFill>
          </w14:textFill>
        </w:rPr>
        <w:t>日</w:t>
      </w:r>
      <w:r>
        <w:rPr>
          <w:rFonts w:hint="eastAsia" w:ascii="宋体" w:hAnsi="宋体"/>
          <w:color w:val="000000" w:themeColor="text1"/>
          <w:kern w:val="0"/>
          <w:sz w:val="24"/>
          <w:szCs w:val="24"/>
          <w:lang w:val="en-US" w:eastAsia="zh-CN"/>
          <w14:textFill>
            <w14:solidFill>
              <w14:schemeClr w14:val="tx1"/>
            </w14:solidFill>
          </w14:textFill>
        </w:rPr>
        <w:t>下</w:t>
      </w:r>
      <w:r>
        <w:rPr>
          <w:rFonts w:hint="eastAsia" w:ascii="宋体" w:hAnsi="宋体"/>
          <w:color w:val="000000" w:themeColor="text1"/>
          <w:kern w:val="0"/>
          <w:sz w:val="24"/>
          <w:szCs w:val="24"/>
          <w14:textFill>
            <w14:solidFill>
              <w14:schemeClr w14:val="tx1"/>
            </w14:solidFill>
          </w14:textFill>
        </w:rPr>
        <w:t>午</w:t>
      </w:r>
      <w:r>
        <w:rPr>
          <w:rFonts w:hint="eastAsia" w:ascii="宋体" w:hAnsi="宋体"/>
          <w:color w:val="000000" w:themeColor="text1"/>
          <w:kern w:val="0"/>
          <w:sz w:val="24"/>
          <w:szCs w:val="24"/>
          <w:lang w:val="en-US" w:eastAsia="zh-CN"/>
          <w14:textFill>
            <w14:solidFill>
              <w14:schemeClr w14:val="tx1"/>
            </w14:solidFill>
          </w14:textFill>
        </w:rPr>
        <w:t>15：0</w:t>
      </w:r>
      <w:r>
        <w:rPr>
          <w:rFonts w:hint="eastAsia" w:ascii="宋体" w:hAnsi="宋体"/>
          <w:color w:val="000000" w:themeColor="text1"/>
          <w:kern w:val="0"/>
          <w:sz w:val="24"/>
          <w:szCs w:val="24"/>
          <w14:textFill>
            <w14:solidFill>
              <w14:schemeClr w14:val="tx1"/>
            </w14:solidFill>
          </w14:textFill>
        </w:rPr>
        <w:t>0之</w:t>
      </w:r>
      <w:r>
        <w:rPr>
          <w:rFonts w:hint="eastAsia" w:ascii="宋体" w:hAnsi="宋体"/>
          <w:color w:val="auto"/>
          <w:kern w:val="0"/>
          <w:sz w:val="24"/>
          <w:szCs w:val="24"/>
        </w:rPr>
        <w:t>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1AE928F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代表须在报价</w:t>
      </w:r>
      <w:r>
        <w:rPr>
          <w:rFonts w:hint="eastAsia" w:ascii="宋体" w:hAnsi="宋体"/>
          <w:kern w:val="0"/>
          <w:sz w:val="24"/>
          <w:szCs w:val="24"/>
          <w:lang w:eastAsia="zh-CN"/>
        </w:rPr>
        <w:t>投标人</w:t>
      </w:r>
      <w:r>
        <w:rPr>
          <w:rFonts w:hint="eastAsia" w:ascii="宋体" w:hAnsi="宋体"/>
          <w:kern w:val="0"/>
          <w:sz w:val="24"/>
          <w:szCs w:val="24"/>
        </w:rPr>
        <w:t>签到表中签到。</w:t>
      </w:r>
    </w:p>
    <w:p w14:paraId="20A30528">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代表须在采购代理机构工作人员的主持下查验响应文件的密封情况并在报价</w:t>
      </w:r>
      <w:r>
        <w:rPr>
          <w:rFonts w:hint="eastAsia" w:ascii="宋体" w:hAnsi="宋体"/>
          <w:kern w:val="0"/>
          <w:sz w:val="24"/>
          <w:szCs w:val="24"/>
          <w:lang w:eastAsia="zh-CN"/>
        </w:rPr>
        <w:t>投标人</w:t>
      </w:r>
      <w:r>
        <w:rPr>
          <w:rFonts w:hint="eastAsia" w:ascii="宋体" w:hAnsi="宋体"/>
          <w:kern w:val="0"/>
          <w:sz w:val="24"/>
          <w:szCs w:val="24"/>
        </w:rPr>
        <w:t>密封核实情况表中签字确认。</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453917619"/>
      <w:bookmarkStart w:id="35" w:name="_Toc453858063"/>
      <w:bookmarkStart w:id="36" w:name="_Toc385234434"/>
      <w:bookmarkStart w:id="37" w:name="_Toc453917526"/>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0214384E">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hint="eastAsia" w:ascii="宋体" w:hAnsi="宋体"/>
          <w:kern w:val="0"/>
          <w:sz w:val="24"/>
          <w:szCs w:val="24"/>
          <w:lang w:eastAsia="zh-CN"/>
        </w:rPr>
        <w:t>投标人</w:t>
      </w:r>
      <w:r>
        <w:rPr>
          <w:rFonts w:hint="eastAsia" w:ascii="宋体" w:hAnsi="宋体"/>
          <w:kern w:val="0"/>
          <w:sz w:val="24"/>
          <w:szCs w:val="24"/>
        </w:rPr>
        <w:t>不得撤回其磋商响应文件，否则</w:t>
      </w:r>
      <w:r>
        <w:rPr>
          <w:rFonts w:hint="eastAsia" w:ascii="宋体" w:hAnsi="宋体"/>
          <w:kern w:val="0"/>
          <w:sz w:val="24"/>
          <w:szCs w:val="24"/>
          <w:lang w:val="en-US" w:eastAsia="zh-CN"/>
        </w:rPr>
        <w:t>将投标人的失信行为将被纳入诚信记录</w:t>
      </w:r>
      <w:r>
        <w:rPr>
          <w:rFonts w:hint="eastAsia" w:ascii="宋体" w:hAnsi="宋体"/>
          <w:kern w:val="0"/>
          <w:sz w:val="24"/>
          <w:szCs w:val="24"/>
        </w:rPr>
        <w:t>。</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7632E5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20</w:t>
      </w:r>
      <w:r>
        <w:rPr>
          <w:rFonts w:ascii="宋体" w:hAnsi="宋体"/>
          <w:kern w:val="0"/>
          <w:sz w:val="24"/>
          <w:szCs w:val="24"/>
        </w:rPr>
        <w:t>.1</w:t>
      </w:r>
      <w:r>
        <w:rPr>
          <w:rFonts w:hint="eastAsia" w:ascii="宋体" w:hAnsi="宋体"/>
          <w:kern w:val="0"/>
          <w:sz w:val="24"/>
          <w:szCs w:val="24"/>
        </w:rPr>
        <w:t>采购代理机构组织磋商、文件开启、评审工作，磋商整个过程接受监督部门的监督。</w:t>
      </w:r>
    </w:p>
    <w:p w14:paraId="7FDB1C54">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.2采购代理机构在规定的时间和地点组织磋商，</w:t>
      </w:r>
      <w:r>
        <w:rPr>
          <w:rFonts w:hint="eastAsia" w:ascii="宋体" w:hAnsi="宋体"/>
          <w:kern w:val="0"/>
          <w:sz w:val="24"/>
          <w:szCs w:val="24"/>
          <w:lang w:eastAsia="zh-CN"/>
        </w:rPr>
        <w:t>投标人</w:t>
      </w:r>
      <w:r>
        <w:rPr>
          <w:rFonts w:hint="eastAsia" w:ascii="宋体" w:hAnsi="宋体"/>
          <w:kern w:val="0"/>
          <w:sz w:val="24"/>
          <w:szCs w:val="24"/>
        </w:rPr>
        <w:t>须委派代表参加，参加磋商的授权代表应携带相关资质证件并签名报到以证明其出席。</w:t>
      </w:r>
    </w:p>
    <w:p w14:paraId="656EE97C">
      <w:pPr>
        <w:adjustRightInd w:val="0"/>
        <w:snapToGrid w:val="0"/>
        <w:spacing w:line="440" w:lineRule="exact"/>
        <w:ind w:firstLine="480" w:firstLineChars="200"/>
        <w:rPr>
          <w:rFonts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.3</w:t>
      </w:r>
      <w:r>
        <w:rPr>
          <w:rFonts w:hint="eastAsia" w:ascii="宋体" w:hAnsi="宋体"/>
          <w:kern w:val="0"/>
          <w:sz w:val="24"/>
          <w:szCs w:val="24"/>
          <w:lang w:val="en-US" w:eastAsia="zh-CN"/>
        </w:rPr>
        <w:t>评审时，由采购人或采购代理机构对递交响应文件的各供应商在“信用中国”网站 ( www.creditchina.gov.cn)、中国政府采购网( www.ccgp.gov.cn )等信用主体网站进行信用查询（截止时间点为响应文件递交截止时间），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2D62ADAD">
      <w:pPr>
        <w:adjustRightInd w:val="0"/>
        <w:snapToGrid w:val="0"/>
        <w:spacing w:line="440" w:lineRule="exact"/>
        <w:ind w:firstLine="482" w:firstLineChars="200"/>
        <w:rPr>
          <w:rFonts w:ascii="宋体"/>
          <w:b/>
          <w:bCs/>
          <w:kern w:val="0"/>
          <w:sz w:val="24"/>
          <w:szCs w:val="24"/>
        </w:rPr>
      </w:pPr>
      <w:r>
        <w:rPr>
          <w:rFonts w:hint="eastAsia" w:ascii="宋体" w:hAnsi="宋体"/>
          <w:b/>
          <w:bCs/>
          <w:kern w:val="0"/>
          <w:sz w:val="24"/>
          <w:szCs w:val="24"/>
          <w:lang w:val="en-US" w:eastAsia="zh-CN"/>
        </w:rPr>
        <w:t>20.4</w:t>
      </w:r>
      <w:r>
        <w:rPr>
          <w:rFonts w:hint="eastAsia" w:ascii="宋体" w:hAnsi="宋体"/>
          <w:b/>
          <w:bCs/>
          <w:kern w:val="0"/>
          <w:sz w:val="24"/>
          <w:szCs w:val="24"/>
        </w:rPr>
        <w:t>磋商时，由各</w:t>
      </w:r>
      <w:r>
        <w:rPr>
          <w:rFonts w:hint="eastAsia" w:ascii="宋体" w:hAnsi="宋体"/>
          <w:b/>
          <w:bCs/>
          <w:kern w:val="0"/>
          <w:sz w:val="24"/>
          <w:szCs w:val="24"/>
          <w:lang w:eastAsia="zh-CN"/>
        </w:rPr>
        <w:t>投标人</w:t>
      </w:r>
      <w:r>
        <w:rPr>
          <w:rFonts w:hint="eastAsia" w:ascii="宋体" w:hAnsi="宋体"/>
          <w:b/>
          <w:bCs/>
          <w:kern w:val="0"/>
          <w:sz w:val="24"/>
          <w:szCs w:val="24"/>
        </w:rPr>
        <w:t>代表</w:t>
      </w:r>
      <w:r>
        <w:rPr>
          <w:rFonts w:hint="eastAsia" w:ascii="宋体" w:hAnsi="宋体"/>
          <w:b/>
          <w:bCs/>
          <w:kern w:val="0"/>
          <w:sz w:val="24"/>
          <w:szCs w:val="24"/>
          <w:lang w:val="en-US" w:eastAsia="zh-CN"/>
        </w:rPr>
        <w:t>自行检查</w:t>
      </w:r>
      <w:r>
        <w:rPr>
          <w:rFonts w:hint="eastAsia" w:ascii="宋体" w:hAnsi="宋体" w:eastAsia="宋体" w:cs="宋体"/>
          <w:b/>
          <w:bCs/>
          <w:color w:val="auto"/>
          <w:kern w:val="0"/>
          <w:sz w:val="24"/>
          <w:szCs w:val="24"/>
        </w:rPr>
        <w:t>纸质</w:t>
      </w:r>
      <w:r>
        <w:rPr>
          <w:rFonts w:hint="eastAsia" w:ascii="宋体" w:hAnsi="宋体"/>
          <w:b/>
          <w:bCs/>
          <w:kern w:val="0"/>
          <w:sz w:val="24"/>
          <w:szCs w:val="24"/>
        </w:rPr>
        <w:t>磋商响应文件的密封情况</w:t>
      </w:r>
      <w:r>
        <w:rPr>
          <w:rFonts w:hint="eastAsia" w:ascii="宋体" w:hAnsi="宋体"/>
          <w:sz w:val="28"/>
          <w:szCs w:val="28"/>
        </w:rPr>
        <w:t>（</w:t>
      </w:r>
      <w:r>
        <w:rPr>
          <w:rFonts w:hint="eastAsia" w:ascii="宋体" w:hAnsi="宋体" w:cs="Times New Roman"/>
          <w:b/>
          <w:bCs/>
          <w:kern w:val="0"/>
          <w:sz w:val="24"/>
          <w:szCs w:val="24"/>
          <w:lang w:val="en-US" w:eastAsia="zh-CN"/>
        </w:rPr>
        <w:t>投标人</w:t>
      </w:r>
      <w:r>
        <w:rPr>
          <w:rFonts w:hint="eastAsia" w:ascii="宋体" w:hAnsi="宋体" w:eastAsia="宋体" w:cs="Times New Roman"/>
          <w:b/>
          <w:bCs/>
          <w:kern w:val="0"/>
          <w:sz w:val="24"/>
          <w:szCs w:val="24"/>
          <w:lang w:val="en-US" w:eastAsia="zh-CN"/>
        </w:rPr>
        <w:t>自行</w:t>
      </w:r>
      <w:r>
        <w:rPr>
          <w:rFonts w:hint="eastAsia" w:ascii="宋体" w:hAnsi="宋体" w:eastAsia="宋体" w:cs="Times New Roman"/>
          <w:b/>
          <w:bCs/>
          <w:kern w:val="0"/>
          <w:sz w:val="24"/>
          <w:szCs w:val="24"/>
        </w:rPr>
        <w:t>检查</w:t>
      </w:r>
      <w:r>
        <w:rPr>
          <w:rFonts w:hint="eastAsia" w:ascii="宋体" w:hAnsi="宋体" w:eastAsia="宋体" w:cs="Times New Roman"/>
          <w:b/>
          <w:bCs/>
          <w:kern w:val="0"/>
          <w:sz w:val="24"/>
          <w:szCs w:val="24"/>
          <w:lang w:val="en-US" w:eastAsia="zh-CN"/>
        </w:rPr>
        <w:t>磋商</w:t>
      </w:r>
      <w:r>
        <w:rPr>
          <w:rFonts w:hint="eastAsia" w:ascii="宋体" w:hAnsi="宋体" w:eastAsia="宋体" w:cs="Times New Roman"/>
          <w:b/>
          <w:bCs/>
          <w:kern w:val="0"/>
          <w:sz w:val="24"/>
          <w:szCs w:val="24"/>
        </w:rPr>
        <w:t>响应文件是否被开启、原始密封是否完好，查验完毕签字确认。各</w:t>
      </w:r>
      <w:r>
        <w:rPr>
          <w:rFonts w:hint="eastAsia" w:ascii="宋体" w:hAnsi="宋体" w:cs="Times New Roman"/>
          <w:b/>
          <w:bCs/>
          <w:kern w:val="0"/>
          <w:sz w:val="24"/>
          <w:szCs w:val="24"/>
          <w:lang w:eastAsia="zh-CN"/>
        </w:rPr>
        <w:t>投标人</w:t>
      </w:r>
      <w:r>
        <w:rPr>
          <w:rFonts w:hint="eastAsia" w:ascii="宋体" w:hAnsi="宋体" w:eastAsia="宋体" w:cs="Times New Roman"/>
          <w:b/>
          <w:bCs/>
          <w:kern w:val="0"/>
          <w:sz w:val="24"/>
          <w:szCs w:val="24"/>
        </w:rPr>
        <w:t>对密封查验结果自行负责，不相互查验及提出质疑。）</w:t>
      </w:r>
    </w:p>
    <w:p w14:paraId="6CBB3FE5">
      <w:pPr>
        <w:adjustRightInd w:val="0"/>
        <w:snapToGrid w:val="0"/>
        <w:spacing w:line="500" w:lineRule="exact"/>
        <w:ind w:firstLine="480" w:firstLineChars="200"/>
        <w:rPr>
          <w:rFonts w:ascii="宋体" w:hAnsi="宋体"/>
          <w:kern w:val="0"/>
          <w:sz w:val="24"/>
          <w:szCs w:val="24"/>
          <w:highlight w:val="none"/>
        </w:rPr>
      </w:pPr>
      <w:r>
        <w:rPr>
          <w:rFonts w:hint="eastAsia" w:ascii="宋体" w:hAnsi="宋体"/>
          <w:kern w:val="0"/>
          <w:sz w:val="24"/>
          <w:szCs w:val="24"/>
          <w:highlight w:val="none"/>
          <w:lang w:val="en-US" w:eastAsia="zh-CN"/>
        </w:rPr>
        <w:t>20</w:t>
      </w:r>
      <w:r>
        <w:rPr>
          <w:rFonts w:ascii="宋体" w:hAnsi="宋体"/>
          <w:kern w:val="0"/>
          <w:sz w:val="24"/>
          <w:szCs w:val="24"/>
          <w:highlight w:val="none"/>
        </w:rPr>
        <w:t>.</w:t>
      </w:r>
      <w:r>
        <w:rPr>
          <w:rFonts w:hint="eastAsia" w:ascii="宋体" w:hAnsi="宋体"/>
          <w:kern w:val="0"/>
          <w:sz w:val="24"/>
          <w:szCs w:val="24"/>
          <w:highlight w:val="none"/>
          <w:lang w:val="en-US" w:eastAsia="zh-CN"/>
        </w:rPr>
        <w:t>5</w:t>
      </w:r>
      <w:r>
        <w:rPr>
          <w:rFonts w:hint="eastAsia" w:ascii="宋体" w:hAnsi="宋体" w:cs="宋体"/>
          <w:color w:val="auto"/>
          <w:kern w:val="0"/>
          <w:sz w:val="24"/>
          <w:szCs w:val="24"/>
        </w:rPr>
        <w:t>采购代理机构将在磋商会议现场对开标过程进行摄像、文字记录，并存档备查。</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3BFF753D">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kern w:val="0"/>
          <w:sz w:val="24"/>
          <w:szCs w:val="24"/>
          <w:lang w:eastAsia="zh-CN"/>
        </w:rPr>
        <w:t>采购单位</w:t>
      </w:r>
      <w:r>
        <w:rPr>
          <w:rFonts w:hint="eastAsia" w:ascii="宋体" w:hAnsi="宋体"/>
          <w:kern w:val="0"/>
          <w:sz w:val="24"/>
          <w:szCs w:val="24"/>
        </w:rPr>
        <w:t>将按照《政府采购法》、《政府采购竞争性磋商招标方式管理暂行办法》等有关规定组建磋商小组。</w:t>
      </w:r>
    </w:p>
    <w:p w14:paraId="26F33643">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0B215E04">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val="en-US" w:eastAsia="zh-CN"/>
        </w:rPr>
        <w:t>采购人</w:t>
      </w:r>
      <w:r>
        <w:rPr>
          <w:rFonts w:hint="eastAsia" w:ascii="宋体" w:hAnsi="宋体"/>
          <w:kern w:val="0"/>
          <w:sz w:val="24"/>
          <w:szCs w:val="24"/>
        </w:rPr>
        <w:t>提交书面提交评审报告，推荐成交候选人。</w:t>
      </w:r>
    </w:p>
    <w:p w14:paraId="137C720A">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投标人</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投标人</w:t>
      </w:r>
      <w:r>
        <w:rPr>
          <w:rFonts w:hint="eastAsia" w:ascii="宋体" w:hAnsi="宋体"/>
          <w:kern w:val="0"/>
          <w:sz w:val="24"/>
          <w:szCs w:val="24"/>
        </w:rPr>
        <w:t>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040C604B">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根据陕财办采资[2016]53号文件“不得在每轮磋商结束时公开投标人的报价”的规定。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01DAB4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64FAC676">
            <w:pPr>
              <w:keepNext w:val="0"/>
              <w:keepLines w:val="0"/>
              <w:pageBreakBefore w:val="0"/>
              <w:kinsoku/>
              <w:wordWrap/>
              <w:overflowPunct/>
              <w:topLinePunct w:val="0"/>
              <w:autoSpaceDE/>
              <w:autoSpaceDN/>
              <w:bidi w:val="0"/>
              <w:snapToGrid w:val="0"/>
              <w:spacing w:line="300" w:lineRule="atLeast"/>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提供2024</w:t>
            </w:r>
            <w:r>
              <w:rPr>
                <w:rFonts w:hint="eastAsia" w:ascii="宋体" w:hAnsi="宋体" w:cs="宋体"/>
                <w:color w:val="000000" w:themeColor="text1"/>
                <w:sz w:val="24"/>
                <w:szCs w:val="24"/>
                <w:lang w:val="en-US" w:eastAsia="zh-CN"/>
                <w14:textFill>
                  <w14:solidFill>
                    <w14:schemeClr w14:val="tx1"/>
                  </w14:solidFill>
                </w14:textFill>
              </w:rPr>
              <w:t>或2025</w:t>
            </w:r>
            <w:r>
              <w:rPr>
                <w:rFonts w:hint="eastAsia" w:ascii="宋体" w:hAnsi="宋体" w:eastAsia="宋体" w:cs="宋体"/>
                <w:color w:val="000000" w:themeColor="text1"/>
                <w:sz w:val="24"/>
                <w:szCs w:val="24"/>
                <w:lang w:val="en-US" w:eastAsia="zh-CN"/>
                <w14:textFill>
                  <w14:solidFill>
                    <w14:schemeClr w14:val="tx1"/>
                  </w14:solidFill>
                </w14:textFill>
              </w:rPr>
              <w:t>年度的财务审计报告（至少包括资产负债表、利润表和现金流量表，成立时间至提交磋商响应文件截止时间不足一年的可提供成立后任意时段的企业财务报表）；或其</w:t>
            </w:r>
            <w:r>
              <w:rPr>
                <w:rFonts w:hint="eastAsia" w:ascii="宋体" w:hAnsi="宋体" w:eastAsia="宋体" w:cs="宋体"/>
                <w:b w:val="0"/>
                <w:bCs w:val="0"/>
                <w:color w:val="000000" w:themeColor="text1"/>
                <w:sz w:val="24"/>
                <w:szCs w:val="24"/>
                <w14:textFill>
                  <w14:solidFill>
                    <w14:schemeClr w14:val="tx1"/>
                  </w14:solidFill>
                </w14:textFill>
              </w:rPr>
              <w:t>提供</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w:t>
            </w:r>
            <w:r>
              <w:rPr>
                <w:rFonts w:hint="eastAsia" w:ascii="宋体" w:hAnsi="宋体" w:eastAsia="宋体" w:cs="宋体"/>
                <w:b w:val="0"/>
                <w:bCs w:val="0"/>
                <w:color w:val="000000" w:themeColor="text1"/>
                <w:sz w:val="24"/>
                <w:szCs w:val="24"/>
                <w14:textFill>
                  <w14:solidFill>
                    <w14:schemeClr w14:val="tx1"/>
                  </w14:solidFill>
                </w14:textFill>
              </w:rPr>
              <w:t>响应文件递交截止时间前六个月内其基本账户开户银行出具的资信证明</w:t>
            </w:r>
            <w:r>
              <w:rPr>
                <w:rFonts w:hint="eastAsia" w:ascii="宋体" w:hAnsi="宋体" w:eastAsia="宋体" w:cs="宋体"/>
                <w:b w:val="0"/>
                <w:bCs w:val="0"/>
                <w:color w:val="000000" w:themeColor="text1"/>
                <w:sz w:val="24"/>
                <w:szCs w:val="24"/>
                <w:lang w:eastAsia="zh-CN"/>
                <w14:textFill>
                  <w14:solidFill>
                    <w14:schemeClr w14:val="tx1"/>
                  </w14:solidFill>
                </w14:textFill>
              </w:rPr>
              <w:t>；</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07A1318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color w:val="auto"/>
                <w:sz w:val="24"/>
                <w:szCs w:val="24"/>
                <w:lang w:val="en-US" w:eastAsia="zh-CN"/>
              </w:rPr>
              <w:t>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1月1日至今任意一个月的纳税证明或完税证明（依法免税的单位应提供相关证明材料），投标单位提供</w:t>
            </w:r>
            <w:r>
              <w:rPr>
                <w:rFonts w:hint="eastAsia" w:cs="宋体"/>
                <w:color w:val="auto"/>
                <w:sz w:val="24"/>
                <w:szCs w:val="24"/>
                <w:lang w:val="en-US" w:eastAsia="zh-CN"/>
              </w:rPr>
              <w:t>2025年</w:t>
            </w:r>
            <w:r>
              <w:rPr>
                <w:rFonts w:hint="eastAsia" w:ascii="宋体" w:hAnsi="宋体" w:eastAsia="宋体" w:cs="宋体"/>
                <w:color w:val="auto"/>
                <w:sz w:val="24"/>
                <w:szCs w:val="24"/>
                <w:lang w:val="en-US" w:eastAsia="zh-CN"/>
              </w:rPr>
              <w:t>1月1日至今任意一个月的社会保障资金缴存单据或社保机构开具的社会保险参保缴费情况证明（依法不需要缴纳社会保障资金的单位应提供相关证明材料）；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投标人资格要求</w:t>
            </w:r>
          </w:p>
        </w:tc>
        <w:tc>
          <w:tcPr>
            <w:tcW w:w="5559" w:type="dxa"/>
            <w:vAlign w:val="center"/>
          </w:tcPr>
          <w:p w14:paraId="41C8C02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供应商须同时具有行政主管部门颁发的测绘乙级及以上(含乙级)资质和土地规划乙级及以上(含乙级)资质；</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w:t>
            </w:r>
            <w:r>
              <w:rPr>
                <w:rFonts w:hint="eastAsia" w:ascii="宋体" w:hAnsi="宋体" w:cs="宋体"/>
                <w:color w:val="000000"/>
                <w:kern w:val="0"/>
                <w:sz w:val="24"/>
                <w:szCs w:val="24"/>
                <w:lang w:val="en-US" w:eastAsia="zh-CN" w:bidi="ar"/>
              </w:rPr>
              <w:t>前三年</w:t>
            </w:r>
            <w:r>
              <w:rPr>
                <w:rFonts w:hint="eastAsia" w:ascii="宋体" w:hAnsi="宋体" w:eastAsia="宋体" w:cs="宋体"/>
                <w:color w:val="000000"/>
                <w:kern w:val="0"/>
                <w:sz w:val="24"/>
                <w:szCs w:val="24"/>
                <w:lang w:val="en-US" w:eastAsia="zh-CN" w:bidi="ar"/>
              </w:rPr>
              <w:t>内，在经营活动中没有重大违法记录</w:t>
            </w:r>
          </w:p>
        </w:tc>
        <w:tc>
          <w:tcPr>
            <w:tcW w:w="5559" w:type="dxa"/>
            <w:vAlign w:val="center"/>
          </w:tcPr>
          <w:p w14:paraId="614E254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07645C5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w:t>
            </w:r>
            <w:r>
              <w:rPr>
                <w:rFonts w:hint="eastAsia" w:cs="宋体"/>
                <w:b w:val="0"/>
                <w:bCs/>
                <w:color w:val="000000" w:themeColor="text1"/>
                <w:kern w:val="2"/>
                <w:sz w:val="24"/>
                <w:szCs w:val="24"/>
                <w:highlight w:val="none"/>
                <w:lang w:val="en-US" w:eastAsia="zh-CN" w:bidi="ar-SA"/>
                <w14:textFill>
                  <w14:solidFill>
                    <w14:schemeClr w14:val="tx1"/>
                  </w14:solidFill>
                </w14:textFill>
              </w:rPr>
              <w:t>其他未列明行业</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；供应商为监狱企业的，应提供监狱企业的证明文件；供应商为残疾人福利性单位的，应提供《残疾人福利性单位声明函》（监狱企业或残疾人福利性单位视同小型、微型企业）。</w:t>
            </w:r>
          </w:p>
        </w:tc>
      </w:tr>
    </w:tbl>
    <w:p w14:paraId="043B833B">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22.2.3</w:t>
      </w:r>
      <w:r>
        <w:rPr>
          <w:rFonts w:hint="eastAsia" w:ascii="宋体" w:hAnsi="宋体"/>
          <w:kern w:val="0"/>
          <w:sz w:val="24"/>
          <w:szCs w:val="24"/>
        </w:rPr>
        <w:t>符合性评审：磋商小组对磋商响应文件的有效性、完整性和响应程度进行审查，出现下列情况的按无效文件处理。</w:t>
      </w:r>
    </w:p>
    <w:p w14:paraId="04A14EC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36E1EA38">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6942286A">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0F6F0F10">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6E798E7">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5D505A22">
      <w:pPr>
        <w:adjustRightInd w:val="0"/>
        <w:snapToGrid w:val="0"/>
        <w:spacing w:line="480" w:lineRule="exact"/>
        <w:ind w:firstLine="480" w:firstLineChars="200"/>
        <w:rPr>
          <w:rFonts w:ascii="宋体" w:hAnsi="宋体" w:eastAsia="宋体" w:cs="宋体"/>
          <w:b w:val="0"/>
          <w:bCs w:val="0"/>
          <w:color w:val="00000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在重大项目履约过程中有不良记录，不能按期履约的或在“信用中国” 网站(www.creditchina.gov.cn)、中国政府采购网(www.ccgp.gov.cn )被列入 失信被执行人、重大税收违法案件当事人名单、政府采购严重违法失信行为记录 名单的。</w:t>
      </w:r>
    </w:p>
    <w:p w14:paraId="1CB2A4F5">
      <w:pPr>
        <w:adjustRightInd w:val="0"/>
        <w:snapToGrid w:val="0"/>
        <w:spacing w:line="480" w:lineRule="exact"/>
        <w:ind w:firstLine="480" w:firstLineChars="200"/>
        <w:rPr>
          <w:rFonts w:ascii="宋体" w:hAnsi="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符合磋商文件规定的其他无效条款的。</w:t>
      </w:r>
    </w:p>
    <w:p w14:paraId="1463DA1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5"/>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2585527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90</w:t>
            </w:r>
            <w:r>
              <w:rPr>
                <w:rFonts w:hint="eastAsia" w:ascii="宋体" w:hAnsi="宋体" w:eastAsia="宋体" w:cs="宋体"/>
                <w:kern w:val="0"/>
                <w:sz w:val="24"/>
                <w:szCs w:val="24"/>
                <w:lang w:val="en-US" w:eastAsia="zh-CN"/>
              </w:rPr>
              <w:t>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服务内容及要求</w:t>
            </w:r>
            <w:r>
              <w:rPr>
                <w:rFonts w:hint="eastAsia" w:ascii="宋体" w:hAnsi="宋体" w:eastAsia="宋体" w:cs="宋体"/>
                <w:kern w:val="0"/>
                <w:sz w:val="24"/>
                <w:szCs w:val="24"/>
                <w:lang w:val="en-US" w:eastAsia="zh-CN"/>
              </w:rPr>
              <w:t>”。</w:t>
            </w:r>
          </w:p>
        </w:tc>
      </w:tr>
      <w:tr w14:paraId="67B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539586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vAlign w:val="center"/>
          </w:tcPr>
          <w:p w14:paraId="42BFAB6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b w:val="0"/>
                <w:bCs w:val="0"/>
                <w:color w:val="000000"/>
                <w:sz w:val="24"/>
                <w:szCs w:val="24"/>
                <w:lang w:eastAsia="zh-CN"/>
              </w:rPr>
              <w:t>合同主要条款</w:t>
            </w:r>
          </w:p>
        </w:tc>
        <w:tc>
          <w:tcPr>
            <w:tcW w:w="6579" w:type="dxa"/>
            <w:tcBorders>
              <w:top w:val="single" w:color="auto" w:sz="4" w:space="0"/>
              <w:left w:val="single" w:color="auto" w:sz="4" w:space="0"/>
              <w:bottom w:val="single" w:color="auto" w:sz="4" w:space="0"/>
              <w:right w:val="single" w:color="auto" w:sz="4" w:space="0"/>
            </w:tcBorders>
            <w:vAlign w:val="center"/>
          </w:tcPr>
          <w:p w14:paraId="0F1C015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ascii="宋体" w:hAnsi="宋体" w:eastAsia="宋体" w:cs="宋体"/>
                <w:b w:val="0"/>
                <w:bCs w:val="0"/>
                <w:color w:val="000000"/>
                <w:sz w:val="24"/>
                <w:szCs w:val="24"/>
              </w:rPr>
              <w:t>完全理解并接受竞争性磋商文件合同基本条款的要求</w:t>
            </w:r>
            <w:r>
              <w:rPr>
                <w:rFonts w:hint="eastAsia" w:ascii="宋体" w:hAnsi="宋体" w:cs="宋体"/>
                <w:b w:val="0"/>
                <w:bCs w:val="0"/>
                <w:color w:val="000000"/>
                <w:sz w:val="24"/>
                <w:szCs w:val="24"/>
                <w:lang w:eastAsia="zh-CN"/>
              </w:rPr>
              <w:t>。</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4EC8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0" w:hRule="exact"/>
          <w:jc w:val="center"/>
        </w:trPr>
        <w:tc>
          <w:tcPr>
            <w:tcW w:w="565" w:type="dxa"/>
            <w:tcBorders>
              <w:left w:val="single" w:color="auto" w:sz="4" w:space="0"/>
              <w:right w:val="single" w:color="auto" w:sz="4" w:space="0"/>
            </w:tcBorders>
            <w:vAlign w:val="center"/>
          </w:tcPr>
          <w:p w14:paraId="713C442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0124ADA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4B9DE23E">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)查询主体失信记录（截止时间点为投标截止时间止），投标人未被列入失信被执行人、重大税收违法案件当事人名单、政府采购严重违法失信行为记录名单【以评审现场查询结果为准】。</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lang w:val="en-US" w:eastAsia="zh-CN"/>
        </w:rPr>
        <w:t>4</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22.2.5</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服务</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磋商文件不能详细列明采购标的的技术、</w:t>
      </w:r>
      <w:r>
        <w:rPr>
          <w:rFonts w:hint="eastAsia" w:ascii="宋体" w:hAnsi="宋体"/>
          <w:kern w:val="0"/>
          <w:sz w:val="24"/>
          <w:szCs w:val="24"/>
          <w:lang w:val="en-US" w:eastAsia="zh-CN"/>
        </w:rPr>
        <w:t>服务</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服务方案</w:t>
      </w:r>
      <w:r>
        <w:rPr>
          <w:rFonts w:hint="eastAsia" w:ascii="宋体" w:hAnsi="宋体"/>
          <w:kern w:val="0"/>
          <w:sz w:val="24"/>
          <w:szCs w:val="24"/>
        </w:rPr>
        <w:t>或</w:t>
      </w:r>
      <w:r>
        <w:rPr>
          <w:rFonts w:hint="eastAsia" w:ascii="宋体" w:hAnsi="宋体"/>
          <w:kern w:val="0"/>
          <w:sz w:val="24"/>
          <w:szCs w:val="24"/>
          <w:lang w:val="en-US" w:eastAsia="zh-CN"/>
        </w:rPr>
        <w:t>技术</w:t>
      </w:r>
      <w:r>
        <w:rPr>
          <w:rFonts w:hint="eastAsia" w:ascii="宋体" w:hAnsi="宋体"/>
          <w:kern w:val="0"/>
          <w:sz w:val="24"/>
          <w:szCs w:val="24"/>
        </w:rPr>
        <w:t>方案的，磋商结束后，磋商小组应当按照少数服从多数的原则投票推荐3家以上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服务方案</w:t>
      </w:r>
      <w:r>
        <w:rPr>
          <w:rFonts w:hint="eastAsia" w:ascii="宋体" w:hAnsi="宋体"/>
          <w:kern w:val="0"/>
          <w:sz w:val="24"/>
          <w:szCs w:val="24"/>
        </w:rPr>
        <w:t>或</w:t>
      </w:r>
      <w:r>
        <w:rPr>
          <w:rFonts w:hint="eastAsia" w:ascii="宋体" w:hAnsi="宋体"/>
          <w:kern w:val="0"/>
          <w:sz w:val="24"/>
          <w:szCs w:val="24"/>
          <w:lang w:val="en-US" w:eastAsia="zh-CN"/>
        </w:rPr>
        <w:t>技术</w:t>
      </w:r>
      <w:r>
        <w:rPr>
          <w:rFonts w:hint="eastAsia" w:ascii="宋体" w:hAnsi="宋体"/>
          <w:kern w:val="0"/>
          <w:sz w:val="24"/>
          <w:szCs w:val="24"/>
        </w:rPr>
        <w:t xml:space="preserve">方案，并要求其在规定时间内提交最后报价。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12"/>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服务实施方案</w:t>
      </w:r>
      <w:r>
        <w:rPr>
          <w:rFonts w:hint="eastAsia" w:hAnsi="宋体" w:cs="宋体"/>
          <w:color w:val="auto"/>
          <w:sz w:val="24"/>
          <w:szCs w:val="24"/>
        </w:rPr>
        <w:t>”、</w:t>
      </w:r>
      <w:r>
        <w:rPr>
          <w:rFonts w:hint="eastAsia" w:hAnsi="宋体" w:cs="宋体"/>
          <w:color w:val="auto"/>
          <w:sz w:val="24"/>
          <w:szCs w:val="24"/>
          <w:lang w:eastAsia="zh-CN"/>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人员配备</w:t>
      </w:r>
      <w:r>
        <w:rPr>
          <w:rFonts w:hint="eastAsia" w:hAnsi="宋体" w:cs="宋体"/>
          <w:color w:val="auto"/>
          <w:sz w:val="24"/>
          <w:szCs w:val="24"/>
          <w:lang w:eastAsia="zh-CN"/>
        </w:rPr>
        <w:t>”、</w:t>
      </w:r>
      <w:r>
        <w:rPr>
          <w:rFonts w:hint="eastAsia" w:hAnsi="宋体"/>
          <w:sz w:val="24"/>
          <w:szCs w:val="24"/>
        </w:rPr>
        <w:t>“业绩”等方面进行评审赋分，推荐综合得分最高的前三名为预</w:t>
      </w:r>
      <w:r>
        <w:rPr>
          <w:rFonts w:hint="eastAsia" w:hAnsi="宋体"/>
          <w:sz w:val="24"/>
          <w:szCs w:val="24"/>
          <w:lang w:eastAsia="zh-CN"/>
        </w:rPr>
        <w:t>成交单位</w:t>
      </w:r>
      <w:r>
        <w:rPr>
          <w:rFonts w:hint="eastAsia" w:hAnsi="宋体"/>
          <w:sz w:val="24"/>
          <w:szCs w:val="24"/>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kern w:val="0"/>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5"/>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234"/>
        <w:gridCol w:w="6264"/>
      </w:tblGrid>
      <w:tr w14:paraId="2337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93" w:type="dxa"/>
            <w:vAlign w:val="center"/>
          </w:tcPr>
          <w:p w14:paraId="5CEA678E">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评审内容</w:t>
            </w:r>
          </w:p>
        </w:tc>
        <w:tc>
          <w:tcPr>
            <w:tcW w:w="1234" w:type="dxa"/>
            <w:vAlign w:val="center"/>
          </w:tcPr>
          <w:p w14:paraId="7458889C">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分 数</w:t>
            </w:r>
          </w:p>
        </w:tc>
        <w:tc>
          <w:tcPr>
            <w:tcW w:w="6264" w:type="dxa"/>
            <w:vAlign w:val="center"/>
          </w:tcPr>
          <w:p w14:paraId="38819B4B">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评审原则与标准</w:t>
            </w:r>
          </w:p>
        </w:tc>
      </w:tr>
      <w:tr w14:paraId="48F5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3" w:type="dxa"/>
            <w:vAlign w:val="center"/>
          </w:tcPr>
          <w:p w14:paraId="48CDB235">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1234" w:type="dxa"/>
            <w:vAlign w:val="center"/>
          </w:tcPr>
          <w:p w14:paraId="3359B364">
            <w:pPr>
              <w:spacing w:line="400" w:lineRule="exact"/>
              <w:jc w:val="cente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1</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分</w:t>
            </w:r>
          </w:p>
        </w:tc>
        <w:tc>
          <w:tcPr>
            <w:tcW w:w="6264" w:type="dxa"/>
            <w:vAlign w:val="center"/>
          </w:tcPr>
          <w:p w14:paraId="37B3C468">
            <w:pPr>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价格分采用低价优先法计算，即满足磋商文件要求且投标报价最低的投标报价为评标基准价，其价格分为满分。其他投标人的价格分统一按照下列公式计算：</w:t>
            </w:r>
          </w:p>
          <w:p w14:paraId="6295FA1C">
            <w:pPr>
              <w:spacing w:line="44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投标报价=（评标基准价/投标报价）×1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p>
          <w:p w14:paraId="1ABE28C2">
            <w:pPr>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注：供应商不得以低于成本的报价参加磋商，供应商的投标报价明显低于其他供应商的报价，经磋商小组质询后不能在规定时间内说明理由，或说明理由经磋商小组认为不成立，将取消投标资格。</w:t>
            </w:r>
          </w:p>
        </w:tc>
      </w:tr>
      <w:tr w14:paraId="3EEA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1193" w:type="dxa"/>
            <w:vAlign w:val="center"/>
          </w:tcPr>
          <w:p w14:paraId="1F228A41">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商务响应</w:t>
            </w:r>
          </w:p>
        </w:tc>
        <w:tc>
          <w:tcPr>
            <w:tcW w:w="1234" w:type="dxa"/>
            <w:vAlign w:val="center"/>
          </w:tcPr>
          <w:p w14:paraId="2E72B25D">
            <w:pPr>
              <w:spacing w:line="400" w:lineRule="exact"/>
              <w:jc w:val="cente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5分</w:t>
            </w:r>
          </w:p>
        </w:tc>
        <w:tc>
          <w:tcPr>
            <w:tcW w:w="6264" w:type="dxa"/>
            <w:vAlign w:val="center"/>
          </w:tcPr>
          <w:p w14:paraId="0AC10ADE">
            <w:pPr>
              <w:widowControl/>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经过有效性和符合性审核合格的投标人，对商务要求完全响应磋商文件要求的计3分。商务偏离表中有优于情况的计5分。无响应或部分响应的不计分。</w:t>
            </w:r>
          </w:p>
        </w:tc>
      </w:tr>
      <w:tr w14:paraId="00D5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193" w:type="dxa"/>
            <w:vMerge w:val="restart"/>
            <w:vAlign w:val="center"/>
          </w:tcPr>
          <w:p w14:paraId="6261D180">
            <w:pPr>
              <w:spacing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服务</w:t>
            </w:r>
            <w:r>
              <w:rPr>
                <w:rFonts w:hint="eastAsia" w:asciiTheme="minorEastAsia" w:hAnsiTheme="minorEastAsia" w:eastAsiaTheme="minorEastAsia" w:cstheme="minorEastAsia"/>
                <w:color w:val="000000" w:themeColor="text1"/>
                <w:sz w:val="24"/>
                <w:szCs w:val="24"/>
                <w14:textFill>
                  <w14:solidFill>
                    <w14:schemeClr w14:val="tx1"/>
                  </w14:solidFill>
                </w14:textFill>
              </w:rPr>
              <w:t>实施方案（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63</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1234" w:type="dxa"/>
            <w:vAlign w:val="center"/>
          </w:tcPr>
          <w:p w14:paraId="6DEC05B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264" w:type="dxa"/>
            <w:vAlign w:val="center"/>
          </w:tcPr>
          <w:p w14:paraId="192BEE5C">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1、针对本项目的现状和实际需求，制定详细具体、完整实用、科学合理的服务实施方案，包括但不仅限于服务目标及标准、工作流程及计划、主要工作内容实施方案等。</w:t>
            </w:r>
          </w:p>
          <w:p w14:paraId="77B78A7B">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A、服务方案针对本项目的现状和实际需求制定，整体结构完整、切中关键问题、整体方案实用可行、详细具体，最高得15分；</w:t>
            </w:r>
          </w:p>
          <w:p w14:paraId="45A36960">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B、服务方案整体结构完整，服务内容及工作流程等全面、具有一定的合理性，得12分；</w:t>
            </w:r>
          </w:p>
          <w:p w14:paraId="495A6302">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C、服务方案整体结构较完整，服务内容及工作流程等较全面，合理实用性一般得6分；</w:t>
            </w:r>
          </w:p>
          <w:p w14:paraId="19D9481E">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D、服务方案不具体、描述模糊、实施内容不清晰，得4分；</w:t>
            </w:r>
          </w:p>
          <w:p w14:paraId="2075EF7A">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E、服务方案不适用、明显网络上照搬等内容得2分；</w:t>
            </w:r>
          </w:p>
          <w:p w14:paraId="226145D8">
            <w:pPr>
              <w:widowControl/>
              <w:jc w:val="left"/>
              <w:rPr>
                <w:rFonts w:hint="eastAsia" w:asciiTheme="minorEastAsia" w:hAnsiTheme="minorEastAsia" w:eastAsiaTheme="minorEastAsia" w:cstheme="minorEastAsia"/>
                <w:color w:val="000000" w:themeColor="text1"/>
                <w:kern w:val="0"/>
                <w:sz w:val="24"/>
                <w:szCs w:val="24"/>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F、未提供不得分。</w:t>
            </w:r>
          </w:p>
        </w:tc>
      </w:tr>
      <w:tr w14:paraId="37CC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193" w:type="dxa"/>
            <w:vMerge w:val="continue"/>
            <w:vAlign w:val="center"/>
          </w:tcPr>
          <w:p w14:paraId="790BDE4C">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Align w:val="center"/>
          </w:tcPr>
          <w:p w14:paraId="0532775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264" w:type="dxa"/>
            <w:vAlign w:val="center"/>
          </w:tcPr>
          <w:p w14:paraId="348BCA61">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2、项目背景与项目理解</w:t>
            </w:r>
          </w:p>
          <w:p w14:paraId="7A493A14">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根据对项目的理解和认识；分析项目的重点与难点，提出针对性措施。</w:t>
            </w:r>
          </w:p>
          <w:p w14:paraId="0EB43F2A">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A、对于项目理解深刻分析到位的，重点与难点分析全面、合理可行、针对性强最高得12分，</w:t>
            </w:r>
          </w:p>
          <w:p w14:paraId="4AE2FF48">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B、整体阐述较合理得6分，</w:t>
            </w:r>
          </w:p>
          <w:p w14:paraId="6E86D90D">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C、对项目有一定的认识，可行性一般得4分，</w:t>
            </w:r>
          </w:p>
          <w:p w14:paraId="3B4B3143">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D、明显网络上照搬等内容得2分，</w:t>
            </w:r>
          </w:p>
          <w:p w14:paraId="7DE1D9F3">
            <w:pPr>
              <w:widowControl/>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F、未提供不得分。</w:t>
            </w:r>
          </w:p>
        </w:tc>
      </w:tr>
      <w:tr w14:paraId="7EDC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193" w:type="dxa"/>
            <w:vMerge w:val="continue"/>
            <w:vAlign w:val="center"/>
          </w:tcPr>
          <w:p w14:paraId="658AAB3E">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Align w:val="center"/>
          </w:tcPr>
          <w:p w14:paraId="0D8F005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264" w:type="dxa"/>
            <w:vAlign w:val="center"/>
          </w:tcPr>
          <w:p w14:paraId="086883B7">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3、响应文件编制质量及质量保证措施</w:t>
            </w:r>
          </w:p>
          <w:p w14:paraId="377466C6">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编制计划合理、内容全面具体、合理可行，完全满足各阶段的进度要求，且项目质量的保障措施全面具体、合理可行，可保证规划方案顺利实施。</w:t>
            </w:r>
          </w:p>
          <w:p w14:paraId="5BCA2BBF">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A、编制计划合理、内容全面具体、合理可行，完全满足各阶段的进度要求，且项目质量的保障措施全面具体、合理可行，可保证规划方案顺利实施，具有一定的创新性及合理化建议，最高得12分；</w:t>
            </w:r>
          </w:p>
          <w:p w14:paraId="3A2AC552">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B、编制计划合理、内容全面具体、合理可行且项目质量的保障措施全面、合理，可保证规划方案顺利实施，具有一定的合理化建议，最高得6分；</w:t>
            </w:r>
          </w:p>
          <w:p w14:paraId="0B8557E1">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C、编制计划基本合理、内容基本全面，质量的保障措施基本全面，具有一定的可行性，得4分；</w:t>
            </w:r>
          </w:p>
          <w:p w14:paraId="10328262">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D、编制计划不全面、模糊，处理方案缺少一定的可操作性，得2分；</w:t>
            </w:r>
          </w:p>
          <w:p w14:paraId="2DB807FA">
            <w:pPr>
              <w:widowControl/>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 xml:space="preserve">E、未提供不得分。 </w:t>
            </w:r>
          </w:p>
        </w:tc>
      </w:tr>
      <w:tr w14:paraId="7EEF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1" w:hRule="atLeast"/>
          <w:jc w:val="center"/>
        </w:trPr>
        <w:tc>
          <w:tcPr>
            <w:tcW w:w="1193" w:type="dxa"/>
            <w:vMerge w:val="continue"/>
            <w:vAlign w:val="center"/>
          </w:tcPr>
          <w:p w14:paraId="609590CE">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Align w:val="center"/>
          </w:tcPr>
          <w:p w14:paraId="72E52609">
            <w:pPr>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264" w:type="dxa"/>
            <w:vAlign w:val="center"/>
          </w:tcPr>
          <w:p w14:paraId="0A8B5BBD">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4、质量保证措施</w:t>
            </w:r>
          </w:p>
          <w:p w14:paraId="3204B92E">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投标人应提供完整可行的保证措施，包括但不仅限于质量目标及标准、质量检查及考核、各环节质量控制体系等内容。</w:t>
            </w:r>
          </w:p>
          <w:p w14:paraId="1A674BFB">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A、保障措施表述清晰完整，可行合理，满足或优于采购单位需求，服务质量满足要求，各个环节质量控制措施详细可行、全面合理，最高得12分；</w:t>
            </w:r>
          </w:p>
          <w:p w14:paraId="5C06C9B3">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B、保障措施清晰，符合采购单位需求，服务质量基本满足采购要求，具体措施较全面合理，得6分；</w:t>
            </w:r>
          </w:p>
          <w:p w14:paraId="6BBEB745">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C、保障措施基本符合采购单位需求，服务质量基本满足采购要求，具体措施较全面合理，得4分；</w:t>
            </w:r>
          </w:p>
          <w:p w14:paraId="3A644845">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D、保障措施较差，不能全面保证服务质量，得2分；</w:t>
            </w:r>
          </w:p>
          <w:p w14:paraId="0B9CE6F4">
            <w:pPr>
              <w:spacing w:line="360" w:lineRule="auto"/>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E、未提供者不得分。</w:t>
            </w:r>
          </w:p>
        </w:tc>
      </w:tr>
      <w:tr w14:paraId="2852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3" w:hRule="atLeast"/>
          <w:jc w:val="center"/>
        </w:trPr>
        <w:tc>
          <w:tcPr>
            <w:tcW w:w="1193" w:type="dxa"/>
            <w:vMerge w:val="continue"/>
            <w:vAlign w:val="center"/>
          </w:tcPr>
          <w:p w14:paraId="0507B79C">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restart"/>
            <w:vAlign w:val="center"/>
          </w:tcPr>
          <w:p w14:paraId="1DA8D41D">
            <w:pPr>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12分</w:t>
            </w:r>
          </w:p>
        </w:tc>
        <w:tc>
          <w:tcPr>
            <w:tcW w:w="6264" w:type="dxa"/>
            <w:vAlign w:val="center"/>
          </w:tcPr>
          <w:p w14:paraId="0C20AE95">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5、进度保证措施</w:t>
            </w:r>
          </w:p>
          <w:p w14:paraId="596E5F66">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进度保证措施应包括但不仅限于整体工作进度安排、各环节进度控制及保证体系等内容。</w:t>
            </w:r>
          </w:p>
          <w:p w14:paraId="61A64031">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A、进度保证措施符合项目需求、各个环节进度规划有序，能够保证项目正常进行、符合采购人的要求的最高得12分；</w:t>
            </w:r>
          </w:p>
          <w:p w14:paraId="5D751720">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B、工作进度安排能够基本按照项目需求正常进行，各环节进度安排措施基本合理可行的得5分；</w:t>
            </w:r>
          </w:p>
          <w:p w14:paraId="51C53362">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C、工作进度缓慢，未能严格按照项目需求正常进行，保证措施实用性较差，内容不全面的得2分；</w:t>
            </w:r>
          </w:p>
          <w:p w14:paraId="249FFFF8">
            <w:pPr>
              <w:widowControl/>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D、不提供者不得分。</w:t>
            </w:r>
          </w:p>
        </w:tc>
      </w:tr>
      <w:tr w14:paraId="7784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3" w:hRule="atLeast"/>
          <w:jc w:val="center"/>
        </w:trPr>
        <w:tc>
          <w:tcPr>
            <w:tcW w:w="1193" w:type="dxa"/>
            <w:vMerge w:val="restart"/>
            <w:vAlign w:val="center"/>
          </w:tcPr>
          <w:p w14:paraId="0C436BAB">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人员配备</w:t>
            </w:r>
          </w:p>
        </w:tc>
        <w:tc>
          <w:tcPr>
            <w:tcW w:w="1234" w:type="dxa"/>
            <w:vMerge w:val="restart"/>
            <w:vAlign w:val="center"/>
          </w:tcPr>
          <w:p w14:paraId="792E08E2">
            <w:pPr>
              <w:adjustRightInd w:val="0"/>
              <w:snapToGrid w:val="0"/>
              <w:spacing w:line="400" w:lineRule="exact"/>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11分</w:t>
            </w:r>
          </w:p>
        </w:tc>
        <w:tc>
          <w:tcPr>
            <w:tcW w:w="6264" w:type="dxa"/>
            <w:shd w:val="clear" w:color="auto" w:fill="auto"/>
            <w:vAlign w:val="center"/>
          </w:tcPr>
          <w:p w14:paraId="36177F72">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服务团队组织架构（6分）</w:t>
            </w:r>
          </w:p>
          <w:p w14:paraId="0F9FCC8C">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（1）根据供应商提供的实施本项目的服务团队组织架构（包括但不限于拟投入本项目的人员配备情况、人员数量、专业分布、岗位职责等）进行综合评审。</w:t>
            </w:r>
          </w:p>
          <w:p w14:paraId="6D040BB9">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A、项目组织结构合理，人员数量、专业分布满足要求，岗位职责明确得6分；</w:t>
            </w:r>
          </w:p>
          <w:p w14:paraId="342A0017">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B、项目组织结构基本合理、人员数量、专业分布基本满足要求，岗位职责基本明确得3分；</w:t>
            </w:r>
          </w:p>
          <w:p w14:paraId="0C3DBA0A">
            <w:pPr>
              <w:widowControl/>
              <w:jc w:val="left"/>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C、项目组织结构一般，人员数量、专业分布不满足要求、岗位职责不够明确得1分；</w:t>
            </w:r>
          </w:p>
          <w:p w14:paraId="1FB17255">
            <w:pPr>
              <w:spacing w:line="360" w:lineRule="auto"/>
              <w:jc w:val="left"/>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华文中宋" w:hAnsi="华文中宋" w:eastAsia="华文中宋" w:cs="华文中宋"/>
                <w:color w:val="000000"/>
                <w:kern w:val="2"/>
                <w:sz w:val="21"/>
                <w:szCs w:val="22"/>
                <w:highlight w:val="none"/>
                <w:lang w:val="en-US" w:eastAsia="zh-CN" w:bidi="ar-SA"/>
              </w:rPr>
              <w:t>D、</w:t>
            </w: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不提供的不得分。</w:t>
            </w:r>
          </w:p>
        </w:tc>
      </w:tr>
      <w:tr w14:paraId="2392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193" w:type="dxa"/>
            <w:vMerge w:val="continue"/>
            <w:vAlign w:val="center"/>
          </w:tcPr>
          <w:p w14:paraId="1B3B297C">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continue"/>
            <w:vAlign w:val="center"/>
          </w:tcPr>
          <w:p w14:paraId="543A31FB">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p>
        </w:tc>
        <w:tc>
          <w:tcPr>
            <w:tcW w:w="6264" w:type="dxa"/>
            <w:shd w:val="clear" w:color="auto" w:fill="auto"/>
            <w:vAlign w:val="center"/>
          </w:tcPr>
          <w:p w14:paraId="11AABD21">
            <w:pPr>
              <w:spacing w:line="360" w:lineRule="auto"/>
              <w:jc w:val="left"/>
              <w:rPr>
                <w:rFonts w:hint="eastAsia" w:ascii="华文中宋" w:hAnsi="华文中宋" w:eastAsia="华文中宋" w:cs="华文中宋"/>
                <w:color w:val="000000"/>
                <w:kern w:val="2"/>
                <w:sz w:val="21"/>
                <w:szCs w:val="22"/>
                <w:highlight w:val="none"/>
                <w:lang w:val="en-US" w:eastAsia="zh-CN" w:bidi="ar-SA"/>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（2）除项目负责人外其他人员中具有相关专业高级及以上工程师职称或注册类证书的一个得2分；中级职称证书一个得1分，合计最高得5分。</w:t>
            </w:r>
          </w:p>
        </w:tc>
      </w:tr>
      <w:tr w14:paraId="0610A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1193" w:type="dxa"/>
            <w:vAlign w:val="center"/>
          </w:tcPr>
          <w:p w14:paraId="66FD0E8B">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1234" w:type="dxa"/>
            <w:vAlign w:val="center"/>
          </w:tcPr>
          <w:p w14:paraId="31FBE9A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264" w:type="dxa"/>
            <w:shd w:val="clear" w:color="auto" w:fill="auto"/>
            <w:vAlign w:val="center"/>
          </w:tcPr>
          <w:p w14:paraId="75DB92A8">
            <w:pPr>
              <w:widowControl/>
              <w:adjustRightInd w:val="0"/>
              <w:snapToGrid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供应商提供近三年（202</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年</w:t>
            </w:r>
            <w:r>
              <w:rPr>
                <w:rFonts w:hint="eastAsia" w:ascii="宋体" w:hAnsi="宋体" w:cs="宋体"/>
                <w:color w:val="auto"/>
                <w:sz w:val="24"/>
                <w:szCs w:val="24"/>
                <w:lang w:val="en-US" w:eastAsia="zh-CN"/>
              </w:rPr>
              <w:t>01</w:t>
            </w:r>
            <w:r>
              <w:rPr>
                <w:rFonts w:hint="eastAsia" w:ascii="宋体" w:hAnsi="宋体" w:eastAsia="宋体" w:cs="宋体"/>
                <w:color w:val="auto"/>
                <w:sz w:val="24"/>
                <w:szCs w:val="24"/>
                <w:lang w:val="en-US" w:eastAsia="zh-CN"/>
              </w:rPr>
              <w:t>月至今）已完成类似的项目业绩，每个有效业绩得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分，最多得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5D933A83">
            <w:pPr>
              <w:widowControl/>
              <w:jc w:val="left"/>
              <w:rPr>
                <w:rFonts w:hint="eastAsia" w:ascii="华文中宋" w:hAnsi="华文中宋" w:eastAsia="华文中宋" w:cs="华文中宋"/>
                <w:color w:val="000000"/>
                <w:kern w:val="2"/>
                <w:sz w:val="21"/>
                <w:szCs w:val="22"/>
                <w:highlight w:val="none"/>
                <w:lang w:val="zh-CN" w:eastAsia="zh-CN" w:bidi="ar-SA"/>
              </w:rPr>
            </w:pPr>
            <w:r>
              <w:rPr>
                <w:rFonts w:hint="eastAsia" w:ascii="宋体" w:hAnsi="宋体" w:eastAsia="宋体" w:cs="宋体"/>
                <w:b/>
                <w:bCs/>
                <w:color w:val="000000" w:themeColor="text1"/>
                <w:sz w:val="24"/>
                <w:szCs w:val="24"/>
                <w14:textFill>
                  <w14:solidFill>
                    <w14:schemeClr w14:val="tx1"/>
                  </w14:solidFill>
                </w14:textFill>
              </w:rPr>
              <w:t>（以合同签订时间为准，提供合同复印件加盖投标人公章）</w:t>
            </w:r>
            <w:r>
              <w:rPr>
                <w:rFonts w:hint="eastAsia" w:ascii="宋体" w:hAnsi="宋体" w:cs="宋体"/>
                <w:b/>
                <w:bCs/>
                <w:color w:val="000000" w:themeColor="text1"/>
                <w:sz w:val="24"/>
                <w:szCs w:val="24"/>
                <w:lang w:eastAsia="zh-CN"/>
                <w14:textFill>
                  <w14:solidFill>
                    <w14:schemeClr w14:val="tx1"/>
                  </w14:solidFill>
                </w14:textFill>
              </w:rPr>
              <w:t>。</w:t>
            </w:r>
          </w:p>
        </w:tc>
      </w:tr>
    </w:tbl>
    <w:p w14:paraId="5F009F09">
      <w:pPr>
        <w:autoSpaceDE w:val="0"/>
        <w:autoSpaceDN w:val="0"/>
        <w:adjustRightInd w:val="0"/>
        <w:snapToGrid w:val="0"/>
        <w:spacing w:line="440" w:lineRule="exact"/>
        <w:ind w:firstLine="480" w:firstLineChars="200"/>
        <w:rPr>
          <w:rFonts w:hAnsi="宋体"/>
          <w:color w:val="auto"/>
          <w:sz w:val="24"/>
          <w:szCs w:val="24"/>
        </w:rPr>
      </w:pPr>
      <w:r>
        <w:rPr>
          <w:rFonts w:hint="eastAsia" w:hAnsi="宋体"/>
          <w:color w:val="auto"/>
          <w:sz w:val="24"/>
          <w:szCs w:val="24"/>
          <w:lang w:val="en-US" w:eastAsia="zh-CN"/>
        </w:rPr>
        <w:t>25</w:t>
      </w:r>
      <w:r>
        <w:rPr>
          <w:rFonts w:hAnsi="宋体"/>
          <w:color w:val="auto"/>
          <w:sz w:val="24"/>
          <w:szCs w:val="24"/>
        </w:rPr>
        <w:t>.3</w:t>
      </w:r>
      <w:r>
        <w:rPr>
          <w:rFonts w:hint="eastAsia" w:hAnsi="宋体" w:cs="宋体"/>
          <w:color w:val="auto"/>
          <w:sz w:val="24"/>
          <w:szCs w:val="24"/>
          <w:lang w:eastAsia="zh-CN"/>
        </w:rPr>
        <w:t>投标人</w:t>
      </w:r>
      <w:r>
        <w:rPr>
          <w:rFonts w:hint="eastAsia" w:hAnsi="宋体" w:cs="宋体"/>
          <w:color w:val="auto"/>
          <w:sz w:val="24"/>
          <w:szCs w:val="24"/>
        </w:rPr>
        <w:t>的竞争性磋商响应文件中须提供与以上评分因素相关的证明材料。如果发现有弄虚作假的，磋商小组将取消其投标资格。</w:t>
      </w:r>
    </w:p>
    <w:p w14:paraId="38054C8D">
      <w:pPr>
        <w:adjustRightInd w:val="0"/>
        <w:snapToGrid w:val="0"/>
        <w:spacing w:line="440" w:lineRule="exact"/>
        <w:ind w:firstLine="482" w:firstLineChars="200"/>
        <w:rPr>
          <w:rFonts w:ascii="宋体"/>
          <w:b/>
          <w:kern w:val="0"/>
          <w:sz w:val="24"/>
          <w:szCs w:val="24"/>
        </w:rPr>
      </w:pPr>
      <w:bookmarkStart w:id="38" w:name="_Toc175644061"/>
      <w:bookmarkStart w:id="39" w:name="_Toc326251061"/>
      <w:bookmarkStart w:id="40" w:name="_Toc385234441"/>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5"/>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12"/>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10699921">
      <w:pPr>
        <w:pStyle w:val="12"/>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12"/>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1</w:t>
      </w:r>
      <w:r>
        <w:rPr>
          <w:rFonts w:hint="eastAsia" w:ascii="宋体" w:hAnsi="宋体"/>
          <w:kern w:val="0"/>
          <w:sz w:val="24"/>
          <w:szCs w:val="24"/>
        </w:rPr>
        <w:t>本次采用综合评分法，磋商小组按照公开、公平、公正、诚信的原则对待每位</w:t>
      </w:r>
      <w:r>
        <w:rPr>
          <w:rFonts w:hint="eastAsia" w:ascii="宋体" w:hAnsi="宋体"/>
          <w:kern w:val="0"/>
          <w:sz w:val="24"/>
          <w:szCs w:val="24"/>
          <w:lang w:eastAsia="zh-CN"/>
        </w:rPr>
        <w:t>投标人</w:t>
      </w:r>
      <w:r>
        <w:rPr>
          <w:rFonts w:hint="eastAsia" w:ascii="宋体" w:hAnsi="宋体"/>
          <w:kern w:val="0"/>
          <w:sz w:val="24"/>
          <w:szCs w:val="24"/>
        </w:rPr>
        <w:t>，在全部满足磋商文件实质性要求前提下，按得分由高至低排序推荐</w:t>
      </w:r>
      <w:r>
        <w:rPr>
          <w:rFonts w:ascii="宋体" w:hAnsi="宋体"/>
          <w:kern w:val="0"/>
          <w:sz w:val="24"/>
          <w:szCs w:val="24"/>
        </w:rPr>
        <w:t>3</w:t>
      </w:r>
      <w:r>
        <w:rPr>
          <w:rFonts w:hint="eastAsia" w:ascii="宋体" w:hAnsi="宋体"/>
          <w:kern w:val="0"/>
          <w:sz w:val="24"/>
          <w:szCs w:val="24"/>
        </w:rPr>
        <w:t>名成交候选</w:t>
      </w:r>
      <w:r>
        <w:rPr>
          <w:rFonts w:hint="eastAsia" w:ascii="宋体" w:hAnsi="宋体"/>
          <w:kern w:val="0"/>
          <w:sz w:val="24"/>
          <w:szCs w:val="24"/>
          <w:lang w:eastAsia="zh-CN"/>
        </w:rPr>
        <w:t>投标人</w:t>
      </w:r>
      <w:r>
        <w:rPr>
          <w:rFonts w:hint="eastAsia" w:ascii="宋体" w:hAnsi="宋体"/>
          <w:kern w:val="0"/>
          <w:sz w:val="24"/>
          <w:szCs w:val="24"/>
        </w:rPr>
        <w:t>，并编写评审报告。</w:t>
      </w:r>
    </w:p>
    <w:p w14:paraId="15777FAA">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2</w:t>
      </w:r>
      <w:r>
        <w:rPr>
          <w:rFonts w:hint="eastAsia" w:ascii="宋体" w:hAnsi="宋体"/>
          <w:kern w:val="0"/>
          <w:sz w:val="24"/>
          <w:szCs w:val="24"/>
        </w:rPr>
        <w:t>评审得分相同的，按照最后报价由低到高的顺序推荐。评审得分且最后报价相同的，按照技术指标优劣顺序推荐。</w:t>
      </w:r>
    </w:p>
    <w:p w14:paraId="4402F554">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7</w:t>
      </w:r>
      <w:r>
        <w:rPr>
          <w:rFonts w:ascii="宋体"/>
          <w:kern w:val="0"/>
          <w:sz w:val="24"/>
          <w:szCs w:val="24"/>
        </w:rPr>
        <w:t>.</w:t>
      </w:r>
      <w:r>
        <w:rPr>
          <w:rFonts w:ascii="宋体" w:hAnsi="宋体"/>
          <w:kern w:val="0"/>
          <w:sz w:val="24"/>
          <w:szCs w:val="24"/>
        </w:rPr>
        <w:t>3</w:t>
      </w:r>
      <w:r>
        <w:rPr>
          <w:rFonts w:hint="eastAsia" w:ascii="宋体" w:hAnsi="宋体"/>
          <w:kern w:val="0"/>
          <w:sz w:val="24"/>
          <w:szCs w:val="24"/>
          <w:lang w:eastAsia="zh-CN"/>
        </w:rPr>
        <w:t>采购人</w:t>
      </w:r>
      <w:r>
        <w:rPr>
          <w:rFonts w:hint="eastAsia" w:ascii="宋体" w:hAnsi="宋体"/>
          <w:kern w:val="0"/>
          <w:sz w:val="24"/>
          <w:szCs w:val="24"/>
        </w:rPr>
        <w:t>根据磋商小组评审报告推荐的候选</w:t>
      </w:r>
      <w:r>
        <w:rPr>
          <w:rFonts w:hint="eastAsia" w:ascii="宋体" w:hAnsi="宋体"/>
          <w:kern w:val="0"/>
          <w:sz w:val="24"/>
          <w:szCs w:val="24"/>
          <w:lang w:eastAsia="zh-CN"/>
        </w:rPr>
        <w:t>投标人</w:t>
      </w:r>
      <w:r>
        <w:rPr>
          <w:rFonts w:hint="eastAsia" w:ascii="宋体" w:hAnsi="宋体"/>
          <w:kern w:val="0"/>
          <w:sz w:val="24"/>
          <w:szCs w:val="24"/>
        </w:rPr>
        <w:t>，确定成交单位。</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1" w:name="_Toc453917527"/>
      <w:bookmarkStart w:id="42" w:name="_Toc385234435"/>
      <w:bookmarkStart w:id="43" w:name="_Toc453858064"/>
      <w:bookmarkStart w:id="44" w:name="_Toc453917620"/>
      <w:r>
        <w:rPr>
          <w:rFonts w:hint="eastAsia" w:ascii="宋体" w:hAnsi="宋体" w:cs="宋体"/>
          <w:b/>
          <w:bCs/>
          <w:kern w:val="44"/>
          <w:sz w:val="24"/>
          <w:szCs w:val="24"/>
        </w:rPr>
        <w:t>六、签订合同</w:t>
      </w:r>
      <w:bookmarkEnd w:id="41"/>
      <w:bookmarkEnd w:id="42"/>
      <w:bookmarkEnd w:id="43"/>
      <w:bookmarkEnd w:id="44"/>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2F9DD6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29.1成交单位确定后,代理机构将在刊登本次磋商公告的媒体上发布成交公告，并以书面形式向成交单位发出成交通知书。</w:t>
      </w:r>
      <w:r>
        <w:rPr>
          <w:rFonts w:hint="eastAsia" w:ascii="宋体" w:hAnsi="宋体"/>
          <w:kern w:val="0"/>
          <w:sz w:val="24"/>
          <w:szCs w:val="24"/>
        </w:rPr>
        <w:t>成交通知书为签订政府采购合同的依据之一，是合同的有效组成部分。</w:t>
      </w:r>
    </w:p>
    <w:p w14:paraId="7BE961C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.2 成交通知书对采购人和成交</w:t>
      </w:r>
      <w:r>
        <w:rPr>
          <w:rFonts w:hint="eastAsia" w:ascii="宋体" w:hAnsi="宋体"/>
          <w:kern w:val="0"/>
          <w:sz w:val="24"/>
          <w:szCs w:val="24"/>
          <w:lang w:eastAsia="zh-CN"/>
        </w:rPr>
        <w:t>投标人</w:t>
      </w:r>
      <w:r>
        <w:rPr>
          <w:rFonts w:hint="eastAsia" w:ascii="宋体" w:hAnsi="宋体"/>
          <w:kern w:val="0"/>
          <w:sz w:val="24"/>
          <w:szCs w:val="24"/>
        </w:rPr>
        <w:t>均具有法律效力。成交通知书发出后，采购人不得违法改变成交结果，成交</w:t>
      </w:r>
      <w:r>
        <w:rPr>
          <w:rFonts w:hint="eastAsia" w:ascii="宋体" w:hAnsi="宋体"/>
          <w:kern w:val="0"/>
          <w:sz w:val="24"/>
          <w:szCs w:val="24"/>
          <w:lang w:eastAsia="zh-CN"/>
        </w:rPr>
        <w:t>投标人</w:t>
      </w:r>
      <w:r>
        <w:rPr>
          <w:rFonts w:hint="eastAsia" w:ascii="宋体" w:hAnsi="宋体"/>
          <w:kern w:val="0"/>
          <w:sz w:val="24"/>
          <w:szCs w:val="24"/>
        </w:rPr>
        <w:t>无正当理由不得放弃成交资格。否则，应当承担相应的法律责任。</w:t>
      </w:r>
    </w:p>
    <w:p w14:paraId="57234564">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应当在接到采购代理机构通知之日起2个工作日内领取《成交通知书》。</w:t>
      </w:r>
    </w:p>
    <w:p w14:paraId="4DFB39B8">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29</w:t>
      </w:r>
      <w:r>
        <w:rPr>
          <w:rFonts w:hint="eastAsia" w:ascii="宋体" w:hAnsi="宋体"/>
          <w:kern w:val="0"/>
          <w:sz w:val="24"/>
          <w:szCs w:val="24"/>
        </w:rPr>
        <w:t>.4 在《成交通知书》发出后，发现成交</w:t>
      </w:r>
      <w:r>
        <w:rPr>
          <w:rFonts w:hint="eastAsia" w:ascii="宋体" w:hAnsi="宋体"/>
          <w:kern w:val="0"/>
          <w:sz w:val="24"/>
          <w:szCs w:val="24"/>
          <w:lang w:eastAsia="zh-CN"/>
        </w:rPr>
        <w:t>投标人</w:t>
      </w:r>
      <w:r>
        <w:rPr>
          <w:rFonts w:hint="eastAsia" w:ascii="宋体" w:hAnsi="宋体"/>
          <w:kern w:val="0"/>
          <w:sz w:val="24"/>
          <w:szCs w:val="24"/>
        </w:rPr>
        <w:t>有政府采购法律法规规章制度规定的成交无效情形的，采购代理机构应当宣布发出的成交通知书无效，并收回已发出的成交通知书（成交</w:t>
      </w:r>
      <w:r>
        <w:rPr>
          <w:rFonts w:hint="eastAsia" w:ascii="宋体" w:hAnsi="宋体"/>
          <w:kern w:val="0"/>
          <w:sz w:val="24"/>
          <w:szCs w:val="24"/>
          <w:lang w:eastAsia="zh-CN"/>
        </w:rPr>
        <w:t>投标人</w:t>
      </w:r>
      <w:r>
        <w:rPr>
          <w:rFonts w:hint="eastAsia" w:ascii="宋体" w:hAnsi="宋体"/>
          <w:kern w:val="0"/>
          <w:sz w:val="24"/>
          <w:szCs w:val="24"/>
        </w:rPr>
        <w:t>也应当交回），依法重新确定成交</w:t>
      </w:r>
      <w:r>
        <w:rPr>
          <w:rFonts w:hint="eastAsia" w:ascii="宋体" w:hAnsi="宋体"/>
          <w:kern w:val="0"/>
          <w:sz w:val="24"/>
          <w:szCs w:val="24"/>
          <w:lang w:eastAsia="zh-CN"/>
        </w:rPr>
        <w:t>投标人</w:t>
      </w:r>
      <w:r>
        <w:rPr>
          <w:rFonts w:hint="eastAsia" w:ascii="宋体" w:hAnsi="宋体"/>
          <w:kern w:val="0"/>
          <w:sz w:val="24"/>
          <w:szCs w:val="24"/>
        </w:rPr>
        <w:t>或者重新开展采购活动，同时向同级财政部门报告。</w:t>
      </w:r>
    </w:p>
    <w:p w14:paraId="148B8D6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29</w:t>
      </w:r>
      <w:r>
        <w:rPr>
          <w:rFonts w:ascii="宋体" w:hAnsi="宋体"/>
          <w:kern w:val="0"/>
          <w:sz w:val="24"/>
          <w:szCs w:val="24"/>
        </w:rPr>
        <w:t>.</w:t>
      </w:r>
      <w:r>
        <w:rPr>
          <w:rFonts w:hint="eastAsia" w:ascii="宋体" w:hAnsi="宋体"/>
          <w:kern w:val="0"/>
          <w:sz w:val="24"/>
          <w:szCs w:val="24"/>
          <w:lang w:val="en-US" w:eastAsia="zh-CN"/>
        </w:rPr>
        <w:t>5</w:t>
      </w:r>
      <w:r>
        <w:rPr>
          <w:rFonts w:ascii="宋体" w:hAnsi="宋体"/>
          <w:kern w:val="0"/>
          <w:sz w:val="24"/>
          <w:szCs w:val="24"/>
        </w:rPr>
        <w:t xml:space="preserve"> </w:t>
      </w:r>
      <w:r>
        <w:rPr>
          <w:rFonts w:hint="eastAsia" w:ascii="宋体" w:hAnsi="宋体"/>
          <w:kern w:val="0"/>
          <w:sz w:val="24"/>
          <w:szCs w:val="24"/>
        </w:rPr>
        <w:t>代理机构对未成交的</w:t>
      </w:r>
      <w:r>
        <w:rPr>
          <w:rFonts w:hint="eastAsia" w:ascii="宋体" w:hAnsi="宋体"/>
          <w:kern w:val="0"/>
          <w:sz w:val="24"/>
          <w:szCs w:val="24"/>
          <w:lang w:eastAsia="zh-CN"/>
        </w:rPr>
        <w:t>投标人</w:t>
      </w:r>
      <w:r>
        <w:rPr>
          <w:rFonts w:hint="eastAsia" w:ascii="宋体" w:hAnsi="宋体"/>
          <w:kern w:val="0"/>
          <w:sz w:val="24"/>
          <w:szCs w:val="24"/>
        </w:rPr>
        <w:t>不作未成交原因的解释。</w:t>
      </w:r>
    </w:p>
    <w:p w14:paraId="54F23C51">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4B9DD223">
      <w:pPr>
        <w:adjustRightInd w:val="0"/>
        <w:snapToGrid w:val="0"/>
        <w:spacing w:line="480" w:lineRule="exact"/>
        <w:ind w:firstLine="477" w:firstLineChars="198"/>
        <w:rPr>
          <w:rFonts w:hint="eastAsia" w:ascii="宋体" w:hAnsi="宋体"/>
          <w:b/>
          <w:bCs/>
          <w:kern w:val="0"/>
          <w:sz w:val="24"/>
          <w:szCs w:val="24"/>
        </w:rPr>
      </w:pPr>
      <w:r>
        <w:rPr>
          <w:rFonts w:hint="eastAsia" w:ascii="宋体" w:hAnsi="宋体" w:eastAsia="宋体" w:cs="Times New Roman"/>
          <w:b/>
          <w:bCs/>
          <w:kern w:val="0"/>
          <w:sz w:val="24"/>
          <w:szCs w:val="24"/>
        </w:rPr>
        <w:t>成交单位应在领取中标通知书时</w:t>
      </w:r>
      <w:r>
        <w:rPr>
          <w:rFonts w:hint="eastAsia" w:ascii="宋体" w:hAnsi="宋体"/>
          <w:b/>
          <w:bCs/>
          <w:kern w:val="0"/>
          <w:sz w:val="24"/>
          <w:szCs w:val="24"/>
        </w:rPr>
        <w:t>须按照国家计委</w:t>
      </w:r>
      <w:r>
        <w:rPr>
          <w:rFonts w:hint="eastAsia" w:ascii="宋体" w:hAnsi="宋体" w:eastAsia="宋体" w:cs="宋体"/>
          <w:b/>
          <w:bCs/>
          <w:color w:val="000000"/>
          <w:kern w:val="0"/>
          <w:sz w:val="24"/>
          <w:szCs w:val="24"/>
          <w:lang w:val="en-US" w:eastAsia="zh-CN" w:bidi="ar"/>
        </w:rPr>
        <w:t>《关于降低部分建设项目收费标准规范收费行为等有关问题的通知》(发改价格〔2011〕534 号)的规定，</w:t>
      </w:r>
      <w:r>
        <w:rPr>
          <w:rFonts w:hint="eastAsia" w:ascii="宋体" w:hAnsi="宋体" w:eastAsia="宋体" w:cs="Times New Roman"/>
          <w:b/>
          <w:bCs/>
          <w:kern w:val="0"/>
          <w:sz w:val="24"/>
          <w:szCs w:val="24"/>
        </w:rPr>
        <w:t>向</w:t>
      </w:r>
      <w:r>
        <w:rPr>
          <w:rFonts w:hint="eastAsia" w:ascii="宋体" w:hAnsi="宋体" w:cs="Times New Roman"/>
          <w:b/>
          <w:bCs/>
          <w:kern w:val="0"/>
          <w:sz w:val="24"/>
          <w:szCs w:val="24"/>
          <w:lang w:eastAsia="zh-CN"/>
        </w:rPr>
        <w:t>丰信国际项目管理有限公司</w:t>
      </w:r>
      <w:r>
        <w:rPr>
          <w:rFonts w:hint="eastAsia" w:ascii="宋体" w:hAnsi="宋体" w:cs="Times New Roman"/>
          <w:b/>
          <w:bCs/>
          <w:kern w:val="0"/>
          <w:sz w:val="24"/>
          <w:szCs w:val="24"/>
          <w:lang w:val="en-US" w:eastAsia="zh-CN"/>
        </w:rPr>
        <w:t>安康分公司</w:t>
      </w:r>
      <w:r>
        <w:rPr>
          <w:rFonts w:hint="eastAsia" w:ascii="宋体" w:hAnsi="宋体" w:eastAsia="宋体" w:cs="Times New Roman"/>
          <w:b/>
          <w:bCs/>
          <w:kern w:val="0"/>
          <w:sz w:val="24"/>
          <w:szCs w:val="24"/>
        </w:rPr>
        <w:t>缴纳中标服务费。</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5C083850">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31.1</w:t>
      </w:r>
      <w:r>
        <w:rPr>
          <w:rFonts w:hint="eastAsia" w:ascii="宋体" w:hAnsi="宋体"/>
          <w:kern w:val="0"/>
          <w:sz w:val="24"/>
          <w:szCs w:val="24"/>
        </w:rPr>
        <w:t>成交</w:t>
      </w:r>
      <w:r>
        <w:rPr>
          <w:rFonts w:hint="eastAsia" w:ascii="宋体" w:hAnsi="宋体"/>
          <w:kern w:val="0"/>
          <w:sz w:val="24"/>
          <w:szCs w:val="24"/>
          <w:lang w:eastAsia="zh-CN"/>
        </w:rPr>
        <w:t>投标人</w:t>
      </w:r>
      <w:r>
        <w:rPr>
          <w:rFonts w:hint="eastAsia" w:ascii="宋体" w:hAnsi="宋体"/>
          <w:kern w:val="0"/>
          <w:sz w:val="24"/>
          <w:szCs w:val="24"/>
        </w:rPr>
        <w:t>应在《成交通知书》发出之日起</w:t>
      </w:r>
      <w:r>
        <w:rPr>
          <w:rFonts w:hint="eastAsia" w:ascii="宋体" w:hAnsi="宋体"/>
          <w:kern w:val="0"/>
          <w:sz w:val="24"/>
          <w:szCs w:val="24"/>
          <w:lang w:val="en-US" w:eastAsia="zh-CN"/>
        </w:rPr>
        <w:t>25</w:t>
      </w:r>
      <w:r>
        <w:rPr>
          <w:rFonts w:hint="eastAsia" w:ascii="宋体" w:hAnsi="宋体"/>
          <w:kern w:val="0"/>
          <w:sz w:val="24"/>
          <w:szCs w:val="24"/>
        </w:rPr>
        <w:t>日内与采购人签订采购合同。成交</w:t>
      </w:r>
      <w:r>
        <w:rPr>
          <w:rFonts w:hint="eastAsia" w:ascii="宋体" w:hAnsi="宋体"/>
          <w:kern w:val="0"/>
          <w:sz w:val="24"/>
          <w:szCs w:val="24"/>
          <w:lang w:eastAsia="zh-CN"/>
        </w:rPr>
        <w:t>投标人</w:t>
      </w:r>
      <w:r>
        <w:rPr>
          <w:rFonts w:hint="eastAsia" w:ascii="宋体" w:hAnsi="宋体"/>
          <w:kern w:val="0"/>
          <w:sz w:val="24"/>
          <w:szCs w:val="24"/>
        </w:rPr>
        <w:t>无正当理由拒签合同，或者在签订合同时向采购人提出附件条件，采购人有权取消其成交资格，采购人可以与排在成交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之后第一位的成交候选人签订采购合同，或者重新开展采购活动。拒绝签订政府采购合同的成交</w:t>
      </w:r>
      <w:r>
        <w:rPr>
          <w:rFonts w:hint="eastAsia" w:ascii="宋体" w:hAnsi="宋体"/>
          <w:kern w:val="0"/>
          <w:sz w:val="24"/>
          <w:szCs w:val="24"/>
          <w:lang w:eastAsia="zh-CN"/>
        </w:rPr>
        <w:t>投标人</w:t>
      </w:r>
      <w:r>
        <w:rPr>
          <w:rFonts w:hint="eastAsia" w:ascii="宋体" w:hAnsi="宋体"/>
          <w:kern w:val="0"/>
          <w:sz w:val="24"/>
          <w:szCs w:val="24"/>
        </w:rPr>
        <w:t>不得参加对该项目重新开展的采购活动。</w:t>
      </w:r>
    </w:p>
    <w:p w14:paraId="6B15445A">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.2 发出成交通知书后，采购人不得向成交</w:t>
      </w:r>
      <w:r>
        <w:rPr>
          <w:rFonts w:hint="eastAsia" w:ascii="宋体" w:hAnsi="宋体"/>
          <w:kern w:val="0"/>
          <w:sz w:val="24"/>
          <w:szCs w:val="24"/>
          <w:lang w:eastAsia="zh-CN"/>
        </w:rPr>
        <w:t>投标人</w:t>
      </w:r>
      <w:r>
        <w:rPr>
          <w:rFonts w:hint="eastAsia" w:ascii="宋体" w:hAnsi="宋体"/>
          <w:kern w:val="0"/>
          <w:sz w:val="24"/>
          <w:szCs w:val="24"/>
        </w:rPr>
        <w:t>提出任何不合理要求，作为签订合的条件，不得与成交</w:t>
      </w:r>
      <w:r>
        <w:rPr>
          <w:rFonts w:hint="eastAsia" w:ascii="宋体" w:hAnsi="宋体"/>
          <w:kern w:val="0"/>
          <w:sz w:val="24"/>
          <w:szCs w:val="24"/>
          <w:lang w:eastAsia="zh-CN"/>
        </w:rPr>
        <w:t>投标人</w:t>
      </w:r>
      <w:r>
        <w:rPr>
          <w:rFonts w:hint="eastAsia" w:ascii="宋体" w:hAnsi="宋体"/>
          <w:kern w:val="0"/>
          <w:sz w:val="24"/>
          <w:szCs w:val="24"/>
        </w:rPr>
        <w:t>私下订立背离合同实质性内容的任何协议，所签订的合同不得对磋商文件确定的事项和成交</w:t>
      </w:r>
      <w:r>
        <w:rPr>
          <w:rFonts w:hint="eastAsia" w:ascii="宋体" w:hAnsi="宋体"/>
          <w:kern w:val="0"/>
          <w:sz w:val="24"/>
          <w:szCs w:val="24"/>
          <w:lang w:eastAsia="zh-CN"/>
        </w:rPr>
        <w:t>投标人</w:t>
      </w:r>
      <w:r>
        <w:rPr>
          <w:rFonts w:hint="eastAsia" w:ascii="宋体" w:hAnsi="宋体"/>
          <w:kern w:val="0"/>
          <w:sz w:val="24"/>
          <w:szCs w:val="24"/>
        </w:rPr>
        <w:t>响应文件做实质性修改。</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31</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因不可抗力原因不能履行采购合同或放弃成交资格的，采购人可以与排在成交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之后第一位的成交候选人签订采购合同，以此类推。</w:t>
      </w:r>
    </w:p>
    <w:p w14:paraId="6CCF0FBF">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32</w:t>
      </w:r>
      <w:r>
        <w:rPr>
          <w:rFonts w:hint="eastAsia" w:ascii="宋体" w:hAnsi="宋体"/>
          <w:kern w:val="0"/>
          <w:sz w:val="24"/>
          <w:szCs w:val="24"/>
        </w:rPr>
        <w:t>.4 联合体成交的，联合体各方应当与采购人签订采购合同，就成交项目向采购人承担连带责任。</w:t>
      </w:r>
    </w:p>
    <w:p w14:paraId="599E1331">
      <w:pPr>
        <w:adjustRightInd w:val="0"/>
        <w:snapToGrid w:val="0"/>
        <w:spacing w:line="480" w:lineRule="exact"/>
        <w:ind w:firstLine="482" w:firstLineChars="200"/>
        <w:jc w:val="center"/>
        <w:outlineLvl w:val="1"/>
        <w:rPr>
          <w:rFonts w:ascii="宋体"/>
          <w:kern w:val="0"/>
          <w:sz w:val="24"/>
          <w:szCs w:val="24"/>
        </w:rPr>
      </w:pPr>
      <w:bookmarkStart w:id="45" w:name="_Toc385234436"/>
      <w:bookmarkStart w:id="46" w:name="_Toc453917528"/>
      <w:bookmarkStart w:id="47" w:name="_Toc453858065"/>
      <w:bookmarkStart w:id="48" w:name="_Toc453917621"/>
      <w:r>
        <w:rPr>
          <w:rFonts w:hint="eastAsia" w:ascii="宋体" w:hAnsi="宋体" w:cs="宋体"/>
          <w:b/>
          <w:bCs/>
          <w:kern w:val="44"/>
          <w:sz w:val="24"/>
          <w:szCs w:val="24"/>
        </w:rPr>
        <w:t>七、保密和披露</w:t>
      </w:r>
      <w:bookmarkEnd w:id="45"/>
      <w:bookmarkEnd w:id="46"/>
      <w:bookmarkEnd w:id="47"/>
      <w:bookmarkEnd w:id="48"/>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9" w:name="_Toc385234437"/>
      <w:bookmarkStart w:id="50" w:name="_Toc453858066"/>
      <w:bookmarkStart w:id="51" w:name="_Toc453917622"/>
      <w:bookmarkStart w:id="52" w:name="_Toc453917529"/>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49"/>
      <w:bookmarkEnd w:id="50"/>
      <w:bookmarkEnd w:id="51"/>
      <w:bookmarkEnd w:id="52"/>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3" w:name="_Toc453917530"/>
      <w:bookmarkStart w:id="54" w:name="_Toc453858067"/>
      <w:bookmarkStart w:id="55" w:name="_Toc385234438"/>
      <w:bookmarkStart w:id="56" w:name="_Toc453917623"/>
      <w:r>
        <w:rPr>
          <w:rFonts w:ascii="宋体" w:hAnsi="宋体"/>
          <w:sz w:val="24"/>
          <w:szCs w:val="24"/>
        </w:rPr>
        <w:t>3</w:t>
      </w:r>
      <w:r>
        <w:rPr>
          <w:rFonts w:hint="eastAsia" w:ascii="宋体" w:hAnsi="宋体"/>
          <w:kern w:val="0"/>
          <w:sz w:val="24"/>
          <w:szCs w:val="24"/>
          <w:lang w:val="en-US" w:eastAsia="zh-CN"/>
        </w:rPr>
        <w:t>4</w:t>
      </w:r>
      <w:r>
        <w:rPr>
          <w:rFonts w:hint="eastAsia" w:ascii="宋体" w:hAnsi="宋体"/>
          <w:kern w:val="0"/>
          <w:sz w:val="24"/>
          <w:szCs w:val="24"/>
        </w:rPr>
        <w:t>.1</w:t>
      </w:r>
      <w:bookmarkStart w:id="57" w:name="_Toc8613"/>
      <w:bookmarkStart w:id="58" w:name="_Toc3129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王工</w:t>
      </w:r>
    </w:p>
    <w:p w14:paraId="6963791F">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hint="eastAsia" w:ascii="宋体" w:hAnsi="宋体" w:cs="宋体"/>
          <w:color w:val="000000" w:themeColor="text1"/>
          <w:sz w:val="24"/>
          <w:szCs w:val="24"/>
          <w:lang w:eastAsia="zh-CN"/>
          <w14:textFill>
            <w14:solidFill>
              <w14:schemeClr w14:val="tx1"/>
            </w14:solidFill>
          </w14:textFill>
        </w:rPr>
        <w:t>15229999096</w:t>
      </w:r>
    </w:p>
    <w:p w14:paraId="56150770">
      <w:pPr>
        <w:spacing w:line="48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邮    箱：</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"mailto:1039873476@qq.com"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1039873476@qq.com</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p>
    <w:p w14:paraId="522EF22C">
      <w:pPr>
        <w:pStyle w:val="2"/>
        <w:rPr>
          <w:rFonts w:hint="eastAsia"/>
          <w:lang w:val="en-US" w:eastAsia="zh-CN"/>
        </w:rPr>
      </w:pPr>
      <w:r>
        <w:rPr>
          <w:rFonts w:hint="eastAsia" w:ascii="宋体" w:hAnsi="宋体" w:eastAsia="宋体" w:cs="Times New Roman"/>
          <w:kern w:val="0"/>
          <w:sz w:val="24"/>
          <w:szCs w:val="24"/>
          <w:lang w:val="en-US" w:eastAsia="zh-CN"/>
        </w:rPr>
        <w:t>联系地址：</w:t>
      </w:r>
      <w:r>
        <w:rPr>
          <w:rFonts w:hint="eastAsia" w:ascii="宋体" w:hAnsi="宋体" w:cs="Times New Roman"/>
          <w:kern w:val="0"/>
          <w:sz w:val="24"/>
          <w:szCs w:val="24"/>
          <w:lang w:val="en-US" w:eastAsia="zh-CN"/>
        </w:rPr>
        <w:t>陕西省安康市高新技术产业开发区江北办事处张岭村六组268号</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34.2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bookmarkEnd w:id="57"/>
      <w:bookmarkEnd w:id="58"/>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3"/>
      <w:bookmarkEnd w:id="54"/>
      <w:bookmarkEnd w:id="55"/>
      <w:bookmarkEnd w:id="56"/>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59" w:name="_Toc385234440"/>
      <w:bookmarkStart w:id="60" w:name="_Toc470876869"/>
      <w:bookmarkStart w:id="61" w:name="_Toc453917531"/>
      <w:bookmarkStart w:id="62" w:name="_Toc326251060"/>
      <w:bookmarkStart w:id="63" w:name="_Toc453917624"/>
      <w:bookmarkStart w:id="64" w:name="_Toc453858068"/>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59"/>
    <w:bookmarkEnd w:id="60"/>
    <w:bookmarkEnd w:id="61"/>
    <w:bookmarkEnd w:id="62"/>
    <w:bookmarkEnd w:id="63"/>
    <w:bookmarkEnd w:id="64"/>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auto"/>
          <w:sz w:val="24"/>
          <w:szCs w:val="24"/>
        </w:rPr>
      </w:pPr>
      <w:r>
        <w:rPr>
          <w:rFonts w:ascii="宋体" w:eastAsia="Times New Roman"/>
          <w:b/>
          <w:sz w:val="32"/>
          <w:szCs w:val="32"/>
        </w:rPr>
        <w:br w:type="page"/>
      </w:r>
      <w:r>
        <w:rPr>
          <w:rFonts w:hint="eastAsia" w:ascii="宋体" w:hAnsi="宋体" w:cs="宋体"/>
          <w:b/>
          <w:bCs/>
          <w:color w:val="auto"/>
          <w:spacing w:val="20"/>
          <w:kern w:val="44"/>
          <w:sz w:val="32"/>
          <w:szCs w:val="32"/>
        </w:rPr>
        <w:t>第四部分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lang w:val="en-US" w:eastAsia="zh-CN"/>
        </w:rPr>
        <w:t xml:space="preserve">服务内容及要求    </w:t>
      </w:r>
    </w:p>
    <w:bookmarkEnd w:id="38"/>
    <w:bookmarkEnd w:id="39"/>
    <w:bookmarkEnd w:id="40"/>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5" w:name="_Toc175644062"/>
      <w:bookmarkStart w:id="66" w:name="_Toc86202633"/>
      <w:bookmarkStart w:id="67" w:name="_Toc326251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镇坪县永久基本农田调整补划方案编制技术服务项目。</w:t>
      </w:r>
      <w:r>
        <w:rPr>
          <w:rFonts w:hint="eastAsia" w:ascii="宋体" w:hAnsi="宋体" w:cs="宋体"/>
          <w:b w:val="0"/>
          <w:bCs/>
          <w:color w:val="000000" w:themeColor="text1"/>
          <w:sz w:val="24"/>
          <w:szCs w:val="24"/>
          <w14:textFill>
            <w14:solidFill>
              <w14:schemeClr w14:val="tx1"/>
            </w14:solidFill>
          </w14:textFill>
        </w:rPr>
        <w:t xml:space="preserve"> </w:t>
      </w:r>
    </w:p>
    <w:p w14:paraId="0455F1BF">
      <w:pPr>
        <w:numPr>
          <w:ilvl w:val="0"/>
          <w:numId w:val="6"/>
        </w:numPr>
        <w:spacing w:line="55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t>项目</w:t>
      </w:r>
      <w:r>
        <w:rPr>
          <w:rFonts w:hint="eastAsia" w:ascii="宋体" w:hAnsi="宋体" w:cs="宋体"/>
          <w:b/>
          <w:bCs w:val="0"/>
          <w:color w:val="000000" w:themeColor="text1"/>
          <w:sz w:val="24"/>
          <w:szCs w:val="24"/>
          <w:lang w:val="en-US" w:eastAsia="zh-CN"/>
          <w14:textFill>
            <w14:solidFill>
              <w14:schemeClr w14:val="tx1"/>
            </w14:solidFill>
          </w14:textFill>
        </w:rPr>
        <w:t>基本信息</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797897F0">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项目背景：依据《永久基本农田保护红线管理办法》及省、市相关工作要求，开展全县永久基本农田评估调整工作，严守耕地保护红线，实现永久基本农田数量不减、质量不降、布局优化、生态改善。</w:t>
      </w:r>
    </w:p>
    <w:p w14:paraId="73EECFE9">
      <w:pPr>
        <w:numPr>
          <w:ilvl w:val="0"/>
          <w:numId w:val="6"/>
        </w:numPr>
        <w:spacing w:line="550" w:lineRule="exact"/>
        <w:rPr>
          <w:rFonts w:hint="default"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服务内容与技术要求</w:t>
      </w:r>
    </w:p>
    <w:p w14:paraId="0D1891F9">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（一）基础资料收集与内业整合</w:t>
      </w:r>
    </w:p>
    <w:p w14:paraId="69038971">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收集最新国土变更调查数据、永久基本农田数据库、国土空间规划、耕地质量等级成果、高标准农田建设资料、生态保护红线、遥感影像、过渡期耕地恢复方案、权属与审批文件等。</w:t>
      </w:r>
    </w:p>
    <w:p w14:paraId="2E49BA75">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统一坐标系统为2000 国家大地坐标系，完成数据格式转换、拓扑检查、影像校正与解译，提取永久基本农田图斑，形成现状分析底图与矢量数据库。</w:t>
      </w:r>
    </w:p>
    <w:p w14:paraId="729AEA4D">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（二）现状评估与问题分析</w:t>
      </w:r>
    </w:p>
    <w:p w14:paraId="6AE94437">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开展年度评估：对永久基本农田保护、利用、质量、生态、权属及合规性进行全面评估，分析地类冲突、质量退化、布局零散、建设占用、生态敏感等问题。</w:t>
      </w:r>
    </w:p>
    <w:p w14:paraId="0F0429BB">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（三）永久基本农田优化调整</w:t>
      </w:r>
    </w:p>
    <w:p w14:paraId="7FBFE622">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严格遵循“数量不减、质量不降、布局优化、生态改善”原则，分类处置，开展必要性、合理性、可行性论证，形成调整方案、调出 / 调入汇总表、布局调整图。</w:t>
      </w:r>
    </w:p>
    <w:p w14:paraId="2489B607">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（四）永久基本农田补划</w:t>
      </w:r>
    </w:p>
    <w:p w14:paraId="181FE346">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补划原则：“占一补一、先补后调、质量相当、布局集中”，县域内统筹，确保调入面积≥调出面积、质量不降低、生态可承载。</w:t>
      </w:r>
    </w:p>
    <w:p w14:paraId="1BB579A7">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（五）外业调查与举证</w:t>
      </w:r>
    </w:p>
    <w:p w14:paraId="1EAEDCE6">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对调出、调入地块开展100% 外业核实，查清地类、现状照片。</w:t>
      </w:r>
    </w:p>
    <w:p w14:paraId="21DC1149">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（六）数据库建设与成果编制</w:t>
      </w:r>
    </w:p>
    <w:p w14:paraId="3F1852F5">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数据库建设： </w:t>
      </w:r>
    </w:p>
    <w:p w14:paraId="0A7D95A3">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建立永久基本农田评估调整专项数据库，含调出、调入、保留等图层；</w:t>
      </w:r>
    </w:p>
    <w:p w14:paraId="3F264D53">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对接省级永久基本农田监测监管模块，通过质检软件检查。</w:t>
      </w:r>
    </w:p>
    <w:p w14:paraId="16056DE7">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方案与报告编制： </w:t>
      </w:r>
    </w:p>
    <w:p w14:paraId="3C3F534D">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《镇坪县永久基本农田评估调整方案》（含背景、现状、评估、调整、补划、储备区、实施计划、保障措施、效益分析）；</w:t>
      </w:r>
    </w:p>
    <w:p w14:paraId="2FDBF0E7">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（七）成果审核与汇交</w:t>
      </w:r>
    </w:p>
    <w:p w14:paraId="1CE0C009">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配合完成县级初审、市级复审、省级终审。按省、市要求完成数据汇交、入库备案、系统更新。</w:t>
      </w:r>
    </w:p>
    <w:p w14:paraId="116B0CF2">
      <w:pPr>
        <w:numPr>
          <w:ilvl w:val="0"/>
          <w:numId w:val="0"/>
        </w:numPr>
        <w:spacing w:line="550" w:lineRule="exact"/>
        <w:ind w:firstLine="480" w:firstLineChars="200"/>
        <w:rPr>
          <w:rFonts w:hint="default" w:ascii="宋体" w:hAnsi="宋体" w:eastAsia="宋体" w:cs="宋体"/>
          <w:b w:val="0"/>
          <w:bCs/>
          <w:color w:val="000000" w:themeColor="text1"/>
          <w:sz w:val="24"/>
          <w:szCs w:val="24"/>
          <w:lang w:val="en-US" w:eastAsia="zh-CN"/>
          <w14:textFill>
            <w14:solidFill>
              <w14:schemeClr w14:val="tx1"/>
            </w14:solidFill>
          </w14:textFill>
        </w:rPr>
      </w:pPr>
    </w:p>
    <w:p w14:paraId="4FCB4ABE">
      <w:pPr>
        <w:rPr>
          <w:rFonts w:hint="default"/>
          <w:color w:val="000000" w:themeColor="text1"/>
          <w:lang w:val="en-US" w:eastAsia="zh-CN"/>
          <w14:textFill>
            <w14:solidFill>
              <w14:schemeClr w14:val="tx1"/>
            </w14:solidFill>
          </w14:textFill>
        </w:rPr>
      </w:pPr>
    </w:p>
    <w:p w14:paraId="53F0E3A8">
      <w:pPr>
        <w:rPr>
          <w:rFonts w:hint="default"/>
          <w:color w:val="000000" w:themeColor="text1"/>
          <w:lang w:val="en-US" w:eastAsia="zh-CN"/>
          <w14:textFill>
            <w14:solidFill>
              <w14:schemeClr w14:val="tx1"/>
            </w14:solidFill>
          </w14:textFill>
        </w:rPr>
      </w:pPr>
    </w:p>
    <w:p w14:paraId="4409271D">
      <w:pPr>
        <w:rPr>
          <w:rFonts w:hint="default"/>
          <w:color w:val="000000" w:themeColor="text1"/>
          <w:lang w:val="en-US" w:eastAsia="zh-CN"/>
          <w14:textFill>
            <w14:solidFill>
              <w14:schemeClr w14:val="tx1"/>
            </w14:solidFill>
          </w14:textFill>
        </w:rPr>
      </w:pPr>
    </w:p>
    <w:p w14:paraId="3CF1205D">
      <w:pPr>
        <w:rPr>
          <w:rFonts w:hint="default"/>
          <w:color w:val="000000" w:themeColor="text1"/>
          <w:lang w:val="en-US" w:eastAsia="zh-CN"/>
          <w14:textFill>
            <w14:solidFill>
              <w14:schemeClr w14:val="tx1"/>
            </w14:solidFill>
          </w14:textFill>
        </w:rPr>
      </w:pPr>
    </w:p>
    <w:p w14:paraId="4948490F">
      <w:pPr>
        <w:rPr>
          <w:rFonts w:hint="default"/>
          <w:color w:val="000000" w:themeColor="text1"/>
          <w:lang w:val="en-US" w:eastAsia="zh-CN"/>
          <w14:textFill>
            <w14:solidFill>
              <w14:schemeClr w14:val="tx1"/>
            </w14:solidFill>
          </w14:textFill>
        </w:rPr>
      </w:pPr>
    </w:p>
    <w:p w14:paraId="1071BE82">
      <w:pPr>
        <w:rPr>
          <w:rFonts w:hint="default"/>
          <w:color w:val="000000" w:themeColor="text1"/>
          <w:lang w:val="en-US" w:eastAsia="zh-CN"/>
          <w14:textFill>
            <w14:solidFill>
              <w14:schemeClr w14:val="tx1"/>
            </w14:solidFill>
          </w14:textFill>
        </w:rPr>
      </w:pPr>
    </w:p>
    <w:p w14:paraId="5FF127FC">
      <w:pPr>
        <w:rPr>
          <w:rFonts w:hint="default"/>
          <w:color w:val="000000" w:themeColor="text1"/>
          <w:lang w:val="en-US" w:eastAsia="zh-CN"/>
          <w14:textFill>
            <w14:solidFill>
              <w14:schemeClr w14:val="tx1"/>
            </w14:solidFill>
          </w14:textFill>
        </w:rPr>
      </w:pPr>
    </w:p>
    <w:p w14:paraId="293B0E15">
      <w:pPr>
        <w:rPr>
          <w:rFonts w:hint="default"/>
          <w:color w:val="000000" w:themeColor="text1"/>
          <w:lang w:val="en-US" w:eastAsia="zh-CN"/>
          <w14:textFill>
            <w14:solidFill>
              <w14:schemeClr w14:val="tx1"/>
            </w14:solidFill>
          </w14:textFill>
        </w:rPr>
      </w:pPr>
    </w:p>
    <w:p w14:paraId="271994C8">
      <w:pPr>
        <w:rPr>
          <w:rFonts w:hint="default"/>
          <w:color w:val="000000" w:themeColor="text1"/>
          <w:lang w:val="en-US" w:eastAsia="zh-CN"/>
          <w14:textFill>
            <w14:solidFill>
              <w14:schemeClr w14:val="tx1"/>
            </w14:solidFill>
          </w14:textFill>
        </w:rPr>
      </w:pPr>
    </w:p>
    <w:p w14:paraId="2C8CD66D">
      <w:pPr>
        <w:rPr>
          <w:rFonts w:hint="default"/>
          <w:color w:val="000000" w:themeColor="text1"/>
          <w:lang w:val="en-US" w:eastAsia="zh-CN"/>
          <w14:textFill>
            <w14:solidFill>
              <w14:schemeClr w14:val="tx1"/>
            </w14:solidFill>
          </w14:textFill>
        </w:rPr>
      </w:pPr>
    </w:p>
    <w:p w14:paraId="6FEE41B1">
      <w:pPr>
        <w:rPr>
          <w:rFonts w:hint="default"/>
          <w:color w:val="000000" w:themeColor="text1"/>
          <w:lang w:val="en-US" w:eastAsia="zh-CN"/>
          <w14:textFill>
            <w14:solidFill>
              <w14:schemeClr w14:val="tx1"/>
            </w14:solidFill>
          </w14:textFill>
        </w:rPr>
      </w:pPr>
    </w:p>
    <w:p w14:paraId="74FE83F8">
      <w:pPr>
        <w:rPr>
          <w:rFonts w:hint="default"/>
          <w:color w:val="000000" w:themeColor="text1"/>
          <w:lang w:val="en-US" w:eastAsia="zh-CN"/>
          <w14:textFill>
            <w14:solidFill>
              <w14:schemeClr w14:val="tx1"/>
            </w14:solidFill>
          </w14:textFill>
        </w:rPr>
      </w:pPr>
    </w:p>
    <w:p w14:paraId="0647F6FF">
      <w:pPr>
        <w:rPr>
          <w:rFonts w:hint="default"/>
          <w:color w:val="000000" w:themeColor="text1"/>
          <w:lang w:val="en-US" w:eastAsia="zh-CN"/>
          <w14:textFill>
            <w14:solidFill>
              <w14:schemeClr w14:val="tx1"/>
            </w14:solidFill>
          </w14:textFill>
        </w:rPr>
      </w:pPr>
    </w:p>
    <w:p w14:paraId="5E35FE5F">
      <w:pPr>
        <w:rPr>
          <w:rFonts w:hint="default"/>
          <w:color w:val="000000" w:themeColor="text1"/>
          <w:lang w:val="en-US" w:eastAsia="zh-CN"/>
          <w14:textFill>
            <w14:solidFill>
              <w14:schemeClr w14:val="tx1"/>
            </w14:solidFill>
          </w14:textFill>
        </w:rPr>
      </w:pPr>
    </w:p>
    <w:p w14:paraId="4AA8FAAB">
      <w:pPr>
        <w:rPr>
          <w:rFonts w:hint="default"/>
          <w:color w:val="000000" w:themeColor="text1"/>
          <w:lang w:val="en-US" w:eastAsia="zh-CN"/>
          <w14:textFill>
            <w14:solidFill>
              <w14:schemeClr w14:val="tx1"/>
            </w14:solidFill>
          </w14:textFill>
        </w:rPr>
      </w:pPr>
    </w:p>
    <w:p w14:paraId="30B3B0C7">
      <w:pPr>
        <w:rPr>
          <w:rFonts w:hint="default"/>
          <w:color w:val="000000" w:themeColor="text1"/>
          <w:lang w:val="en-US" w:eastAsia="zh-CN"/>
          <w14:textFill>
            <w14:solidFill>
              <w14:schemeClr w14:val="tx1"/>
            </w14:solidFill>
          </w14:textFill>
        </w:rPr>
      </w:pPr>
    </w:p>
    <w:p w14:paraId="3662E9D5">
      <w:pPr>
        <w:rPr>
          <w:rFonts w:hint="default"/>
          <w:color w:val="000000" w:themeColor="text1"/>
          <w:lang w:val="en-US" w:eastAsia="zh-CN"/>
          <w14:textFill>
            <w14:solidFill>
              <w14:schemeClr w14:val="tx1"/>
            </w14:solidFill>
          </w14:textFill>
        </w:rPr>
      </w:pPr>
    </w:p>
    <w:p w14:paraId="6D46141F">
      <w:pPr>
        <w:rPr>
          <w:rFonts w:hint="default"/>
          <w:color w:val="000000" w:themeColor="text1"/>
          <w:lang w:val="en-US" w:eastAsia="zh-CN"/>
          <w14:textFill>
            <w14:solidFill>
              <w14:schemeClr w14:val="tx1"/>
            </w14:solidFill>
          </w14:textFill>
        </w:rPr>
      </w:pPr>
    </w:p>
    <w:p w14:paraId="1304A7F3">
      <w:pPr>
        <w:rPr>
          <w:rFonts w:hint="default"/>
          <w:color w:val="000000" w:themeColor="text1"/>
          <w:lang w:val="en-US" w:eastAsia="zh-CN"/>
          <w14:textFill>
            <w14:solidFill>
              <w14:schemeClr w14:val="tx1"/>
            </w14:solidFill>
          </w14:textFill>
        </w:rPr>
      </w:pPr>
    </w:p>
    <w:p w14:paraId="5871800A">
      <w:pPr>
        <w:rPr>
          <w:rFonts w:hint="default"/>
          <w:color w:val="000000" w:themeColor="text1"/>
          <w:lang w:val="en-US" w:eastAsia="zh-CN"/>
          <w14:textFill>
            <w14:solidFill>
              <w14:schemeClr w14:val="tx1"/>
            </w14:solidFill>
          </w14:textFill>
        </w:rPr>
      </w:pPr>
    </w:p>
    <w:p w14:paraId="559E8604">
      <w:pPr>
        <w:rPr>
          <w:rFonts w:hint="default"/>
          <w:color w:val="000000" w:themeColor="text1"/>
          <w:lang w:val="en-US" w:eastAsia="zh-CN"/>
          <w14:textFill>
            <w14:solidFill>
              <w14:schemeClr w14:val="tx1"/>
            </w14:solidFill>
          </w14:textFill>
        </w:rPr>
      </w:pPr>
    </w:p>
    <w:p w14:paraId="0B4CD418">
      <w:pPr>
        <w:rPr>
          <w:rFonts w:hint="default"/>
          <w:color w:val="000000" w:themeColor="text1"/>
          <w:lang w:val="en-US" w:eastAsia="zh-CN"/>
          <w14:textFill>
            <w14:solidFill>
              <w14:schemeClr w14:val="tx1"/>
            </w14:solidFill>
          </w14:textFill>
        </w:rPr>
      </w:pPr>
    </w:p>
    <w:p w14:paraId="10B26F04">
      <w:pPr>
        <w:rPr>
          <w:rFonts w:hint="default"/>
          <w:color w:val="000000" w:themeColor="text1"/>
          <w:lang w:val="en-US" w:eastAsia="zh-CN"/>
          <w14:textFill>
            <w14:solidFill>
              <w14:schemeClr w14:val="tx1"/>
            </w14:solidFill>
          </w14:textFill>
        </w:rPr>
      </w:pPr>
    </w:p>
    <w:p w14:paraId="3099E83A">
      <w:pPr>
        <w:rPr>
          <w:rFonts w:hint="default"/>
          <w:color w:val="000000" w:themeColor="text1"/>
          <w:lang w:val="en-US" w:eastAsia="zh-CN"/>
          <w14:textFill>
            <w14:solidFill>
              <w14:schemeClr w14:val="tx1"/>
            </w14:solidFill>
          </w14:textFill>
        </w:rPr>
      </w:pPr>
    </w:p>
    <w:p w14:paraId="2EA546E7">
      <w:pPr>
        <w:pStyle w:val="2"/>
        <w:rPr>
          <w:rFonts w:hint="default"/>
          <w:lang w:val="en-US" w:eastAsia="zh-CN"/>
        </w:rPr>
      </w:pPr>
    </w:p>
    <w:p w14:paraId="0215C514">
      <w:pPr>
        <w:rPr>
          <w:rFonts w:hint="default"/>
          <w:color w:val="000000" w:themeColor="text1"/>
          <w:lang w:val="en-US" w:eastAsia="zh-CN"/>
          <w14:textFill>
            <w14:solidFill>
              <w14:schemeClr w14:val="tx1"/>
            </w14:solidFill>
          </w14:textFill>
        </w:rPr>
      </w:pPr>
    </w:p>
    <w:p w14:paraId="7158DBF2">
      <w:pPr>
        <w:rPr>
          <w:rFonts w:hint="default"/>
          <w:color w:val="000000" w:themeColor="text1"/>
          <w:lang w:val="en-US" w:eastAsia="zh-CN"/>
          <w14:textFill>
            <w14:solidFill>
              <w14:schemeClr w14:val="tx1"/>
            </w14:solidFill>
          </w14:textFill>
        </w:rPr>
      </w:pPr>
    </w:p>
    <w:p w14:paraId="1B141B8D">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0745025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r>
        <w:rPr>
          <w:rFonts w:ascii="宋体" w:hAnsi="宋体" w:eastAsia="宋体" w:cs="宋体"/>
          <w:b/>
          <w:bCs/>
          <w:color w:val="000000" w:themeColor="text1"/>
          <w:sz w:val="24"/>
          <w:szCs w:val="24"/>
          <w14:textFill>
            <w14:solidFill>
              <w14:schemeClr w14:val="tx1"/>
            </w14:solidFill>
          </w14:textFill>
        </w:rPr>
        <w:t>服务期限：</w:t>
      </w:r>
      <w:r>
        <w:rPr>
          <w:rFonts w:hint="eastAsia" w:cs="宋体"/>
          <w:b w:val="0"/>
          <w:bCs/>
          <w:color w:val="000000" w:themeColor="text1"/>
          <w:kern w:val="2"/>
          <w:sz w:val="24"/>
          <w:szCs w:val="24"/>
          <w:highlight w:val="none"/>
          <w:lang w:val="en-US" w:eastAsia="zh-CN" w:bidi="ar-SA"/>
          <w14:textFill>
            <w14:solidFill>
              <w14:schemeClr w14:val="tx1"/>
            </w14:solidFill>
          </w14:textFill>
        </w:rPr>
        <w:t>合同签订之日起30日历天内完成全部成果编制、外业核查、三级审核与汇交；后续配合修改、验收、入库及上级核查，服务期至验收合格为止。</w:t>
      </w:r>
    </w:p>
    <w:p w14:paraId="78CD5DB5">
      <w:pPr>
        <w:spacing w:line="600" w:lineRule="exac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二、质量要求：</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符合现行国家法律法规及行业规范标准。</w:t>
      </w:r>
    </w:p>
    <w:p w14:paraId="753BB124">
      <w:pPr>
        <w:keepNext w:val="0"/>
        <w:keepLines w:val="0"/>
        <w:pageBreakBefore w:val="0"/>
        <w:widowControl w:val="0"/>
        <w:kinsoku/>
        <w:wordWrap/>
        <w:overflowPunct/>
        <w:topLinePunct w:val="0"/>
        <w:autoSpaceDE/>
        <w:autoSpaceDN/>
        <w:bidi w:val="0"/>
        <w:spacing w:line="400" w:lineRule="atLeast"/>
        <w:outlineLvl w:val="9"/>
        <w:rPr>
          <w:rFonts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w:t>
      </w:r>
      <w:r>
        <w:rPr>
          <w:rFonts w:ascii="宋体" w:hAnsi="宋体" w:eastAsia="宋体" w:cs="宋体"/>
          <w:b/>
          <w:bCs/>
          <w:color w:val="000000" w:themeColor="text1"/>
          <w:sz w:val="24"/>
          <w:szCs w:val="24"/>
          <w:lang w:val="en-US" w:eastAsia="zh-CN"/>
          <w14:textFill>
            <w14:solidFill>
              <w14:schemeClr w14:val="tx1"/>
            </w14:solidFill>
          </w14:textFill>
        </w:rPr>
        <w:t xml:space="preserve">服务质量要求 </w:t>
      </w:r>
    </w:p>
    <w:p w14:paraId="643A90AF">
      <w:pPr>
        <w:numPr>
          <w:ilvl w:val="0"/>
          <w:numId w:val="0"/>
        </w:numPr>
        <w:spacing w:line="55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配合完成县级初审、市级复审、省级终审。按省、市要求完成数据汇交、入库备案、系统更新。</w:t>
      </w:r>
    </w:p>
    <w:p w14:paraId="4611C526">
      <w:pPr>
        <w:keepNext w:val="0"/>
        <w:keepLines w:val="0"/>
        <w:pageBreakBefore w:val="0"/>
        <w:numPr>
          <w:ilvl w:val="0"/>
          <w:numId w:val="7"/>
        </w:numPr>
        <w:kinsoku/>
        <w:wordWrap/>
        <w:overflowPunct/>
        <w:topLinePunct w:val="0"/>
        <w:autoSpaceDE/>
        <w:autoSpaceDN/>
        <w:bidi w:val="0"/>
        <w:adjustRightInd w:val="0"/>
        <w:snapToGrid w:val="0"/>
        <w:spacing w:line="400" w:lineRule="atLeast"/>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合同价款</w:t>
      </w:r>
    </w:p>
    <w:p w14:paraId="7F7B20FF">
      <w:pPr>
        <w:keepNext w:val="0"/>
        <w:keepLines w:val="0"/>
        <w:pageBreakBefore w:val="0"/>
        <w:widowControl/>
        <w:suppressLineNumbers w:val="0"/>
        <w:kinsoku/>
        <w:wordWrap/>
        <w:overflowPunct/>
        <w:topLinePunct w:val="0"/>
        <w:autoSpaceDE/>
        <w:autoSpaceDN/>
        <w:bidi w:val="0"/>
        <w:spacing w:line="400" w:lineRule="atLeast"/>
        <w:ind w:firstLine="480" w:firstLineChars="20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1．合同总价包括：服务供应价及其他相关费用。</w:t>
      </w:r>
    </w:p>
    <w:p w14:paraId="1A57C931">
      <w:pPr>
        <w:keepNext w:val="0"/>
        <w:keepLines w:val="0"/>
        <w:pageBreakBefore w:val="0"/>
        <w:widowControl/>
        <w:suppressLineNumbers w:val="0"/>
        <w:kinsoku/>
        <w:wordWrap/>
        <w:overflowPunct/>
        <w:topLinePunct w:val="0"/>
        <w:autoSpaceDE/>
        <w:autoSpaceDN/>
        <w:bidi w:val="0"/>
        <w:spacing w:line="400" w:lineRule="atLeast"/>
        <w:ind w:firstLine="480" w:firstLineChars="200"/>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2．合同总价不受市场价变化的影响，不受实际数量变化的影响。</w:t>
      </w:r>
    </w:p>
    <w:p w14:paraId="685E2507">
      <w:pPr>
        <w:keepNext w:val="0"/>
        <w:keepLines w:val="0"/>
        <w:pageBreakBefore w:val="0"/>
        <w:numPr>
          <w:ilvl w:val="0"/>
          <w:numId w:val="0"/>
        </w:numPr>
        <w:kinsoku/>
        <w:wordWrap/>
        <w:overflowPunct/>
        <w:topLinePunct w:val="0"/>
        <w:autoSpaceDE/>
        <w:autoSpaceDN/>
        <w:bidi w:val="0"/>
        <w:adjustRightInd w:val="0"/>
        <w:snapToGrid w:val="0"/>
        <w:spacing w:line="40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五、款项结算</w:t>
      </w:r>
      <w:r>
        <w:rPr>
          <w:rFonts w:hint="eastAsia" w:ascii="宋体" w:hAnsi="宋体" w:eastAsia="宋体" w:cs="宋体"/>
          <w:b/>
          <w:color w:val="000000" w:themeColor="text1"/>
          <w:sz w:val="24"/>
          <w:szCs w:val="24"/>
          <w:highlight w:val="none"/>
          <w14:textFill>
            <w14:solidFill>
              <w14:schemeClr w14:val="tx1"/>
            </w14:solidFill>
          </w14:textFill>
        </w:rPr>
        <w:t>：</w:t>
      </w:r>
    </w:p>
    <w:p w14:paraId="6E6317A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1.付款方式：合同价款为一次性支付（具体付款方式由甲乙双方签订合同时详细约定） 。</w:t>
      </w:r>
    </w:p>
    <w:p w14:paraId="6E208A77">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2．结算方式：</w:t>
      </w:r>
      <w:r>
        <w:rPr>
          <w:rFonts w:hint="eastAsia" w:ascii="宋体" w:hAnsi="宋体" w:cs="宋体"/>
          <w:b w:val="0"/>
          <w:bCs/>
          <w:color w:val="000000" w:themeColor="text1"/>
          <w:sz w:val="24"/>
          <w:szCs w:val="24"/>
          <w:lang w:val="en-US" w:eastAsia="zh-CN"/>
          <w14:textFill>
            <w14:solidFill>
              <w14:schemeClr w14:val="tx1"/>
            </w14:solidFill>
          </w14:textFill>
        </w:rPr>
        <w:t>采购人</w:t>
      </w:r>
      <w:r>
        <w:rPr>
          <w:rFonts w:hint="eastAsia" w:ascii="宋体" w:hAnsi="宋体" w:eastAsia="宋体" w:cs="宋体"/>
          <w:b w:val="0"/>
          <w:bCs/>
          <w:color w:val="000000" w:themeColor="text1"/>
          <w:sz w:val="24"/>
          <w:szCs w:val="24"/>
          <w:lang w:val="en-US" w:eastAsia="zh-CN"/>
          <w14:textFill>
            <w14:solidFill>
              <w14:schemeClr w14:val="tx1"/>
            </w14:solidFill>
          </w14:textFill>
        </w:rPr>
        <w:t>负责结算，发票开至</w:t>
      </w:r>
      <w:r>
        <w:rPr>
          <w:rFonts w:hint="eastAsia" w:ascii="宋体" w:hAnsi="宋体" w:cs="宋体"/>
          <w:b w:val="0"/>
          <w:bCs/>
          <w:color w:val="000000" w:themeColor="text1"/>
          <w:sz w:val="24"/>
          <w:szCs w:val="24"/>
          <w:lang w:val="en-US" w:eastAsia="zh-CN"/>
          <w14:textFill>
            <w14:solidFill>
              <w14:schemeClr w14:val="tx1"/>
            </w14:solidFill>
          </w14:textFill>
        </w:rPr>
        <w:t>采购人</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（乙方必须在税务部门开具真实有效的正式发票）。 </w:t>
      </w:r>
    </w:p>
    <w:p w14:paraId="3AA3E3F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3.采购人不承担因财政资金不能及时到位给成交人造成的任何损失。</w:t>
      </w:r>
    </w:p>
    <w:p w14:paraId="6F2CC508">
      <w:pPr>
        <w:keepNext w:val="0"/>
        <w:keepLines w:val="0"/>
        <w:pageBreakBefore w:val="0"/>
        <w:widowControl w:val="0"/>
        <w:kinsoku/>
        <w:wordWrap/>
        <w:overflowPunct/>
        <w:topLinePunct w:val="0"/>
        <w:autoSpaceDE/>
        <w:autoSpaceDN/>
        <w:bidi w:val="0"/>
        <w:spacing w:line="400" w:lineRule="atLeast"/>
        <w:outlineLvl w:val="9"/>
      </w:pPr>
      <w:r>
        <w:rPr>
          <w:rFonts w:hint="eastAsia" w:ascii="宋体" w:hAnsi="宋体"/>
          <w:b/>
          <w:color w:val="auto"/>
          <w:sz w:val="24"/>
          <w:szCs w:val="24"/>
          <w:lang w:val="en-US" w:eastAsia="zh-CN"/>
        </w:rPr>
        <w:t>六、</w:t>
      </w:r>
      <w:r>
        <w:rPr>
          <w:rFonts w:hint="eastAsia" w:ascii="宋体" w:hAnsi="宋体" w:eastAsia="宋体" w:cs="宋体"/>
          <w:b/>
          <w:bCs/>
          <w:color w:val="000000"/>
          <w:kern w:val="0"/>
          <w:sz w:val="24"/>
          <w:szCs w:val="24"/>
          <w:lang w:val="en-US" w:eastAsia="zh-CN" w:bidi="ar"/>
        </w:rPr>
        <w:t>保密要求</w:t>
      </w:r>
    </w:p>
    <w:p w14:paraId="5C23342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1、采购人向</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单位提供的全部资料，被视为保密资料，仅被用于它所规定的用途。除非得到采购人的同意，否则不能向任何第三方透露。 </w:t>
      </w:r>
    </w:p>
    <w:p w14:paraId="0CD57D97">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2、按照国家保密规定，对采购人提供的有关资料与成果严格保密，成果未经采购人同意不得使用，不得外传。 </w:t>
      </w:r>
    </w:p>
    <w:p w14:paraId="19226D6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单位在本项目实施过程中，涉及属于涉密资料的，由</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单位按照国家涉密要求执行，实施前应签定数据成果使用保密协议书，保密协议书作为合同文件的组成部分。</w:t>
      </w:r>
    </w:p>
    <w:p w14:paraId="0CE3B7E5">
      <w:pPr>
        <w:keepNext w:val="0"/>
        <w:keepLines w:val="0"/>
        <w:widowControl/>
        <w:suppressLineNumbers w:val="0"/>
        <w:jc w:val="left"/>
      </w:pPr>
      <w:r>
        <w:rPr>
          <w:rFonts w:hint="eastAsia" w:ascii="宋体" w:hAnsi="宋体" w:cs="宋体"/>
          <w:b/>
          <w:bCs/>
          <w:color w:val="000000"/>
          <w:sz w:val="24"/>
          <w:szCs w:val="24"/>
          <w:lang w:val="en-US" w:eastAsia="zh-CN"/>
        </w:rPr>
        <w:t>七、</w:t>
      </w:r>
      <w:r>
        <w:rPr>
          <w:rFonts w:hint="eastAsia" w:ascii="宋体" w:hAnsi="宋体" w:eastAsia="宋体" w:cs="宋体"/>
          <w:b/>
          <w:bCs/>
          <w:color w:val="000000"/>
          <w:kern w:val="0"/>
          <w:sz w:val="24"/>
          <w:szCs w:val="24"/>
          <w:lang w:val="en-US" w:eastAsia="zh-CN" w:bidi="ar"/>
        </w:rPr>
        <w:t>合同实施：</w:t>
      </w:r>
    </w:p>
    <w:p w14:paraId="2255FF0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1、中标单位应在合同签订后 2 个日历日内安排人员（项目组成人员简历表所列）与采购人就本项目相关工作进行安排、部署。 </w:t>
      </w:r>
    </w:p>
    <w:p w14:paraId="12D923B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2、若未能在服务期限内完成合同规定的义务，由此对采购人造成的延误和一切损失，由中标单位承担和赔偿。</w:t>
      </w:r>
    </w:p>
    <w:p w14:paraId="3F67AF54">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400" w:lineRule="atLeast"/>
        <w:ind w:right="0" w:rightChars="0"/>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八、成果属权</w:t>
      </w:r>
    </w:p>
    <w:p w14:paraId="7670F4F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本项目所指的全部原始资料、中间过渡及最终成果所有权属于采购人。未经采购人书面许可，</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单位不得擅自将原始资料、中间过渡或最终成果复制自留或提供给其他任何单位和个人，为自己或其他任何单位和个人谋取利益。</w:t>
      </w:r>
    </w:p>
    <w:p w14:paraId="6235D1E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400" w:lineRule="atLeast"/>
        <w:ind w:right="0" w:rightChars="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九、踏勘现场：</w:t>
      </w:r>
    </w:p>
    <w:p w14:paraId="78C077A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该项目采购人不组织踏勘现场，供应商若需要踏勘现场的，采取自行踏勘方式，费用自理，安全责任自负。</w:t>
      </w:r>
    </w:p>
    <w:p w14:paraId="6AE57684">
      <w:pPr>
        <w:spacing w:line="440" w:lineRule="exact"/>
        <w:jc w:val="both"/>
        <w:rPr>
          <w:rFonts w:hint="eastAsia" w:ascii="宋体" w:hAnsi="宋体" w:cs="宋体"/>
          <w:b/>
          <w:bCs/>
          <w:spacing w:val="20"/>
          <w:kern w:val="44"/>
          <w:sz w:val="32"/>
          <w:szCs w:val="32"/>
        </w:rPr>
      </w:pPr>
    </w:p>
    <w:p w14:paraId="44795E77">
      <w:pPr>
        <w:spacing w:line="440" w:lineRule="exact"/>
        <w:ind w:firstLine="723" w:firstLineChars="200"/>
        <w:jc w:val="center"/>
        <w:rPr>
          <w:rFonts w:hint="eastAsia" w:ascii="宋体" w:hAnsi="宋体" w:cs="宋体"/>
          <w:b/>
          <w:bCs/>
          <w:spacing w:val="20"/>
          <w:kern w:val="44"/>
          <w:sz w:val="32"/>
          <w:szCs w:val="32"/>
        </w:rPr>
      </w:pPr>
    </w:p>
    <w:p w14:paraId="7DAF3ACD">
      <w:pPr>
        <w:spacing w:line="440" w:lineRule="exact"/>
        <w:ind w:firstLine="723" w:firstLineChars="200"/>
        <w:jc w:val="center"/>
        <w:rPr>
          <w:rFonts w:hint="eastAsia" w:ascii="宋体" w:hAnsi="宋体" w:cs="宋体"/>
          <w:b/>
          <w:bCs/>
          <w:spacing w:val="20"/>
          <w:kern w:val="44"/>
          <w:sz w:val="32"/>
          <w:szCs w:val="32"/>
        </w:rPr>
      </w:pPr>
    </w:p>
    <w:p w14:paraId="6B1D3003">
      <w:pPr>
        <w:spacing w:line="440" w:lineRule="exact"/>
        <w:ind w:firstLine="723" w:firstLineChars="200"/>
        <w:jc w:val="center"/>
        <w:rPr>
          <w:rFonts w:hint="eastAsia" w:ascii="宋体" w:hAnsi="宋体" w:cs="宋体"/>
          <w:b/>
          <w:bCs/>
          <w:spacing w:val="20"/>
          <w:kern w:val="44"/>
          <w:sz w:val="32"/>
          <w:szCs w:val="32"/>
        </w:rPr>
      </w:pPr>
    </w:p>
    <w:p w14:paraId="43A3BBA5">
      <w:pPr>
        <w:spacing w:line="440" w:lineRule="exact"/>
        <w:ind w:firstLine="723" w:firstLineChars="200"/>
        <w:jc w:val="center"/>
        <w:rPr>
          <w:rFonts w:hint="eastAsia" w:ascii="宋体" w:hAnsi="宋体" w:cs="宋体"/>
          <w:b/>
          <w:bCs/>
          <w:spacing w:val="20"/>
          <w:kern w:val="44"/>
          <w:sz w:val="32"/>
          <w:szCs w:val="32"/>
        </w:rPr>
      </w:pPr>
    </w:p>
    <w:p w14:paraId="55104173">
      <w:pPr>
        <w:spacing w:line="440" w:lineRule="exact"/>
        <w:ind w:firstLine="723" w:firstLineChars="200"/>
        <w:jc w:val="center"/>
        <w:rPr>
          <w:rFonts w:hint="eastAsia" w:ascii="宋体" w:hAnsi="宋体" w:cs="宋体"/>
          <w:b/>
          <w:bCs/>
          <w:spacing w:val="20"/>
          <w:kern w:val="44"/>
          <w:sz w:val="32"/>
          <w:szCs w:val="32"/>
        </w:rPr>
      </w:pPr>
    </w:p>
    <w:p w14:paraId="09F8E11D">
      <w:pPr>
        <w:spacing w:line="440" w:lineRule="exact"/>
        <w:ind w:firstLine="723" w:firstLineChars="200"/>
        <w:jc w:val="center"/>
        <w:rPr>
          <w:rFonts w:hint="eastAsia" w:ascii="宋体" w:hAnsi="宋体" w:cs="宋体"/>
          <w:b/>
          <w:bCs/>
          <w:spacing w:val="20"/>
          <w:kern w:val="44"/>
          <w:sz w:val="32"/>
          <w:szCs w:val="32"/>
        </w:rPr>
      </w:pPr>
    </w:p>
    <w:p w14:paraId="67ACE546">
      <w:pPr>
        <w:spacing w:line="440" w:lineRule="exact"/>
        <w:ind w:firstLine="723" w:firstLineChars="200"/>
        <w:jc w:val="center"/>
        <w:rPr>
          <w:rFonts w:hint="eastAsia" w:ascii="宋体" w:hAnsi="宋体" w:cs="宋体"/>
          <w:b/>
          <w:bCs/>
          <w:spacing w:val="20"/>
          <w:kern w:val="44"/>
          <w:sz w:val="32"/>
          <w:szCs w:val="32"/>
        </w:rPr>
      </w:pPr>
    </w:p>
    <w:p w14:paraId="19F6C85E">
      <w:pPr>
        <w:spacing w:line="440" w:lineRule="exact"/>
        <w:ind w:firstLine="723" w:firstLineChars="200"/>
        <w:jc w:val="center"/>
        <w:rPr>
          <w:rFonts w:hint="eastAsia" w:ascii="宋体" w:hAnsi="宋体" w:cs="宋体"/>
          <w:b/>
          <w:bCs/>
          <w:spacing w:val="20"/>
          <w:kern w:val="44"/>
          <w:sz w:val="32"/>
          <w:szCs w:val="32"/>
        </w:rPr>
      </w:pPr>
    </w:p>
    <w:p w14:paraId="02A57B0A">
      <w:pPr>
        <w:spacing w:line="440" w:lineRule="exact"/>
        <w:ind w:firstLine="723" w:firstLineChars="200"/>
        <w:jc w:val="center"/>
        <w:rPr>
          <w:rFonts w:hint="eastAsia" w:ascii="宋体" w:hAnsi="宋体" w:cs="宋体"/>
          <w:b/>
          <w:bCs/>
          <w:spacing w:val="20"/>
          <w:kern w:val="44"/>
          <w:sz w:val="32"/>
          <w:szCs w:val="32"/>
        </w:rPr>
      </w:pPr>
    </w:p>
    <w:p w14:paraId="55F4A070">
      <w:pPr>
        <w:spacing w:line="440" w:lineRule="exact"/>
        <w:ind w:firstLine="723" w:firstLineChars="200"/>
        <w:jc w:val="center"/>
        <w:rPr>
          <w:rFonts w:hint="eastAsia" w:ascii="宋体" w:hAnsi="宋体" w:cs="宋体"/>
          <w:b/>
          <w:bCs/>
          <w:spacing w:val="20"/>
          <w:kern w:val="44"/>
          <w:sz w:val="32"/>
          <w:szCs w:val="32"/>
        </w:rPr>
      </w:pPr>
    </w:p>
    <w:p w14:paraId="2EA8DF38">
      <w:pPr>
        <w:spacing w:line="440" w:lineRule="exact"/>
        <w:ind w:firstLine="723" w:firstLineChars="200"/>
        <w:jc w:val="center"/>
        <w:rPr>
          <w:rFonts w:hint="eastAsia" w:ascii="宋体" w:hAnsi="宋体" w:cs="宋体"/>
          <w:b/>
          <w:bCs/>
          <w:spacing w:val="20"/>
          <w:kern w:val="44"/>
          <w:sz w:val="32"/>
          <w:szCs w:val="32"/>
        </w:rPr>
      </w:pPr>
    </w:p>
    <w:p w14:paraId="4EBBE5C3">
      <w:pPr>
        <w:spacing w:line="440" w:lineRule="exact"/>
        <w:ind w:firstLine="723" w:firstLineChars="200"/>
        <w:jc w:val="center"/>
        <w:rPr>
          <w:rFonts w:hint="eastAsia" w:ascii="宋体" w:hAnsi="宋体" w:cs="宋体"/>
          <w:b/>
          <w:bCs/>
          <w:spacing w:val="20"/>
          <w:kern w:val="44"/>
          <w:sz w:val="32"/>
          <w:szCs w:val="32"/>
        </w:rPr>
      </w:pPr>
    </w:p>
    <w:p w14:paraId="7044433B">
      <w:pPr>
        <w:spacing w:line="440" w:lineRule="exact"/>
        <w:ind w:firstLine="723" w:firstLineChars="200"/>
        <w:jc w:val="center"/>
        <w:rPr>
          <w:rFonts w:hint="eastAsia" w:ascii="宋体" w:hAnsi="宋体" w:cs="宋体"/>
          <w:b/>
          <w:bCs/>
          <w:spacing w:val="20"/>
          <w:kern w:val="44"/>
          <w:sz w:val="32"/>
          <w:szCs w:val="32"/>
        </w:rPr>
      </w:pPr>
    </w:p>
    <w:p w14:paraId="03037A7C">
      <w:pPr>
        <w:spacing w:line="440" w:lineRule="exact"/>
        <w:ind w:firstLine="723" w:firstLineChars="200"/>
        <w:jc w:val="center"/>
        <w:rPr>
          <w:rFonts w:hint="eastAsia" w:ascii="宋体" w:hAnsi="宋体" w:cs="宋体"/>
          <w:b/>
          <w:bCs/>
          <w:spacing w:val="20"/>
          <w:kern w:val="44"/>
          <w:sz w:val="32"/>
          <w:szCs w:val="32"/>
        </w:rPr>
      </w:pPr>
    </w:p>
    <w:p w14:paraId="2A8394EE">
      <w:pPr>
        <w:spacing w:line="440" w:lineRule="exact"/>
        <w:ind w:firstLine="723" w:firstLineChars="200"/>
        <w:jc w:val="center"/>
        <w:rPr>
          <w:rFonts w:hint="eastAsia" w:ascii="宋体" w:hAnsi="宋体" w:cs="宋体"/>
          <w:b/>
          <w:bCs/>
          <w:spacing w:val="20"/>
          <w:kern w:val="44"/>
          <w:sz w:val="32"/>
          <w:szCs w:val="32"/>
        </w:rPr>
      </w:pPr>
    </w:p>
    <w:p w14:paraId="6C1269DC">
      <w:pPr>
        <w:spacing w:line="440" w:lineRule="exact"/>
        <w:ind w:firstLine="723" w:firstLineChars="200"/>
        <w:jc w:val="center"/>
        <w:rPr>
          <w:rFonts w:hint="eastAsia" w:ascii="宋体" w:hAnsi="宋体" w:cs="宋体"/>
          <w:b/>
          <w:bCs/>
          <w:spacing w:val="20"/>
          <w:kern w:val="44"/>
          <w:sz w:val="32"/>
          <w:szCs w:val="32"/>
        </w:rPr>
      </w:pPr>
    </w:p>
    <w:p w14:paraId="7A329743">
      <w:pPr>
        <w:spacing w:line="440" w:lineRule="exact"/>
        <w:ind w:firstLine="723" w:firstLineChars="200"/>
        <w:jc w:val="center"/>
        <w:rPr>
          <w:rFonts w:hint="eastAsia" w:ascii="宋体" w:hAnsi="宋体" w:cs="宋体"/>
          <w:b/>
          <w:bCs/>
          <w:spacing w:val="20"/>
          <w:kern w:val="44"/>
          <w:sz w:val="32"/>
          <w:szCs w:val="32"/>
        </w:rPr>
      </w:pPr>
    </w:p>
    <w:p w14:paraId="3347D35D">
      <w:pPr>
        <w:spacing w:line="440" w:lineRule="exact"/>
        <w:ind w:firstLine="723" w:firstLineChars="200"/>
        <w:jc w:val="center"/>
        <w:rPr>
          <w:rFonts w:hint="eastAsia" w:ascii="宋体" w:hAnsi="宋体" w:cs="宋体"/>
          <w:b/>
          <w:bCs/>
          <w:spacing w:val="20"/>
          <w:kern w:val="44"/>
          <w:sz w:val="32"/>
          <w:szCs w:val="32"/>
        </w:rPr>
      </w:pPr>
    </w:p>
    <w:p w14:paraId="49B03990">
      <w:pPr>
        <w:spacing w:line="440" w:lineRule="exact"/>
        <w:ind w:firstLine="723" w:firstLineChars="200"/>
        <w:jc w:val="center"/>
        <w:rPr>
          <w:rFonts w:hint="eastAsia" w:ascii="宋体" w:hAnsi="宋体" w:cs="宋体"/>
          <w:b/>
          <w:bCs/>
          <w:spacing w:val="20"/>
          <w:kern w:val="44"/>
          <w:sz w:val="32"/>
          <w:szCs w:val="32"/>
        </w:rPr>
      </w:pPr>
    </w:p>
    <w:p w14:paraId="2743E7DA">
      <w:pPr>
        <w:spacing w:line="440" w:lineRule="exact"/>
        <w:ind w:firstLine="723" w:firstLineChars="200"/>
        <w:jc w:val="center"/>
        <w:rPr>
          <w:rFonts w:hint="eastAsia" w:ascii="宋体" w:hAnsi="宋体" w:cs="宋体"/>
          <w:b/>
          <w:bCs/>
          <w:spacing w:val="20"/>
          <w:kern w:val="44"/>
          <w:sz w:val="32"/>
          <w:szCs w:val="32"/>
        </w:rPr>
      </w:pPr>
    </w:p>
    <w:p w14:paraId="7CB50A0D">
      <w:pPr>
        <w:spacing w:line="440" w:lineRule="exact"/>
        <w:ind w:firstLine="723" w:firstLineChars="200"/>
        <w:jc w:val="center"/>
        <w:rPr>
          <w:rFonts w:hint="eastAsia" w:ascii="宋体" w:hAnsi="宋体" w:cs="宋体"/>
          <w:b/>
          <w:bCs/>
          <w:spacing w:val="20"/>
          <w:kern w:val="44"/>
          <w:sz w:val="32"/>
          <w:szCs w:val="32"/>
        </w:rPr>
      </w:pPr>
    </w:p>
    <w:p w14:paraId="2E549636">
      <w:pPr>
        <w:spacing w:line="440" w:lineRule="exact"/>
        <w:ind w:firstLine="723" w:firstLineChars="200"/>
        <w:jc w:val="center"/>
        <w:rPr>
          <w:rFonts w:hint="eastAsia" w:ascii="宋体" w:hAnsi="宋体" w:cs="宋体"/>
          <w:b/>
          <w:bCs/>
          <w:spacing w:val="20"/>
          <w:kern w:val="44"/>
          <w:sz w:val="32"/>
          <w:szCs w:val="32"/>
        </w:rPr>
      </w:pPr>
    </w:p>
    <w:p w14:paraId="7C8F855C">
      <w:pPr>
        <w:spacing w:line="440" w:lineRule="exact"/>
        <w:ind w:firstLine="723" w:firstLineChars="200"/>
        <w:jc w:val="center"/>
        <w:rPr>
          <w:rFonts w:hint="eastAsia" w:ascii="宋体" w:hAnsi="宋体" w:cs="宋体"/>
          <w:b/>
          <w:bCs/>
          <w:spacing w:val="20"/>
          <w:kern w:val="44"/>
          <w:sz w:val="32"/>
          <w:szCs w:val="32"/>
        </w:rPr>
      </w:pPr>
    </w:p>
    <w:p w14:paraId="0A81F4BE">
      <w:pPr>
        <w:spacing w:line="440" w:lineRule="exact"/>
        <w:ind w:firstLine="723" w:firstLineChars="200"/>
        <w:jc w:val="center"/>
        <w:rPr>
          <w:rFonts w:hint="eastAsia" w:ascii="宋体" w:hAnsi="宋体" w:cs="宋体"/>
          <w:b/>
          <w:bCs/>
          <w:spacing w:val="20"/>
          <w:kern w:val="44"/>
          <w:sz w:val="32"/>
          <w:szCs w:val="32"/>
        </w:rPr>
      </w:pPr>
    </w:p>
    <w:p w14:paraId="0FAB400B">
      <w:pPr>
        <w:spacing w:line="440" w:lineRule="exact"/>
        <w:ind w:firstLine="723" w:firstLineChars="200"/>
        <w:jc w:val="center"/>
        <w:rPr>
          <w:rFonts w:hint="eastAsia" w:ascii="宋体" w:hAnsi="宋体" w:cs="宋体"/>
          <w:b/>
          <w:bCs/>
          <w:spacing w:val="20"/>
          <w:kern w:val="44"/>
          <w:sz w:val="32"/>
          <w:szCs w:val="32"/>
        </w:rPr>
      </w:pPr>
    </w:p>
    <w:p w14:paraId="31CD530F">
      <w:pPr>
        <w:spacing w:line="440" w:lineRule="exact"/>
        <w:ind w:firstLine="723" w:firstLineChars="200"/>
        <w:jc w:val="center"/>
        <w:rPr>
          <w:rFonts w:hint="eastAsia" w:ascii="宋体" w:hAnsi="宋体" w:cs="宋体"/>
          <w:b/>
          <w:bCs/>
          <w:spacing w:val="20"/>
          <w:kern w:val="44"/>
          <w:sz w:val="32"/>
          <w:szCs w:val="32"/>
        </w:rPr>
      </w:pPr>
    </w:p>
    <w:p w14:paraId="21152F92">
      <w:pPr>
        <w:spacing w:line="440" w:lineRule="exact"/>
        <w:ind w:firstLine="723" w:firstLineChars="200"/>
        <w:jc w:val="center"/>
        <w:rPr>
          <w:rFonts w:hint="eastAsia" w:ascii="宋体" w:hAnsi="宋体" w:cs="宋体"/>
          <w:b/>
          <w:bCs/>
          <w:spacing w:val="20"/>
          <w:kern w:val="44"/>
          <w:sz w:val="32"/>
          <w:szCs w:val="32"/>
        </w:rPr>
      </w:pPr>
    </w:p>
    <w:p w14:paraId="12B06CD9">
      <w:pPr>
        <w:spacing w:line="440" w:lineRule="exact"/>
        <w:ind w:firstLine="723" w:firstLineChars="200"/>
        <w:jc w:val="center"/>
        <w:rPr>
          <w:rFonts w:hint="eastAsia" w:ascii="宋体" w:hAnsi="宋体" w:cs="宋体"/>
          <w:b/>
          <w:bCs/>
          <w:spacing w:val="20"/>
          <w:kern w:val="44"/>
          <w:sz w:val="32"/>
          <w:szCs w:val="32"/>
        </w:rPr>
      </w:pPr>
    </w:p>
    <w:p w14:paraId="42C10B76">
      <w:pPr>
        <w:spacing w:line="440" w:lineRule="exact"/>
        <w:ind w:firstLine="723" w:firstLineChars="200"/>
        <w:jc w:val="center"/>
        <w:rPr>
          <w:rFonts w:hint="eastAsia" w:ascii="宋体" w:hAnsi="宋体" w:cs="宋体"/>
          <w:b/>
          <w:bCs/>
          <w:spacing w:val="20"/>
          <w:kern w:val="44"/>
          <w:sz w:val="32"/>
          <w:szCs w:val="32"/>
        </w:rPr>
      </w:pPr>
    </w:p>
    <w:p w14:paraId="03A14801">
      <w:pPr>
        <w:spacing w:line="440" w:lineRule="exact"/>
        <w:ind w:firstLine="723" w:firstLineChars="200"/>
        <w:jc w:val="center"/>
        <w:rPr>
          <w:rFonts w:hint="eastAsia" w:ascii="宋体" w:hAnsi="宋体" w:cs="宋体"/>
          <w:b/>
          <w:bCs/>
          <w:spacing w:val="20"/>
          <w:kern w:val="44"/>
          <w:sz w:val="32"/>
          <w:szCs w:val="32"/>
        </w:rPr>
      </w:pPr>
    </w:p>
    <w:p w14:paraId="10008361">
      <w:pPr>
        <w:spacing w:line="440" w:lineRule="exact"/>
        <w:ind w:firstLine="723" w:firstLineChars="200"/>
        <w:jc w:val="center"/>
        <w:rPr>
          <w:rFonts w:hint="eastAsia" w:ascii="宋体" w:hAnsi="宋体" w:cs="宋体"/>
          <w:b/>
          <w:bCs/>
          <w:spacing w:val="20"/>
          <w:kern w:val="44"/>
          <w:sz w:val="32"/>
          <w:szCs w:val="32"/>
        </w:rPr>
      </w:pPr>
    </w:p>
    <w:p w14:paraId="18EB6C9E">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0655F369">
      <w:pPr>
        <w:spacing w:line="440" w:lineRule="exact"/>
        <w:ind w:firstLine="723" w:firstLineChars="200"/>
        <w:jc w:val="center"/>
        <w:rPr>
          <w:rFonts w:hint="eastAsia" w:ascii="宋体" w:hAnsi="宋体" w:cs="宋体"/>
          <w:b/>
          <w:bCs/>
          <w:spacing w:val="20"/>
          <w:kern w:val="44"/>
          <w:sz w:val="32"/>
          <w:szCs w:val="32"/>
        </w:rPr>
      </w:pPr>
    </w:p>
    <w:p w14:paraId="1E49922F">
      <w:pPr>
        <w:spacing w:line="440" w:lineRule="exact"/>
        <w:ind w:firstLine="723" w:firstLineChars="200"/>
        <w:jc w:val="center"/>
        <w:rPr>
          <w:rFonts w:hint="eastAsia" w:ascii="宋体" w:hAnsi="宋体" w:cs="宋体"/>
          <w:b/>
          <w:bCs/>
          <w:spacing w:val="20"/>
          <w:kern w:val="44"/>
          <w:sz w:val="32"/>
          <w:szCs w:val="32"/>
        </w:rPr>
      </w:pPr>
    </w:p>
    <w:p w14:paraId="7345713B">
      <w:pPr>
        <w:spacing w:line="440" w:lineRule="exact"/>
        <w:ind w:firstLine="723" w:firstLineChars="200"/>
        <w:jc w:val="center"/>
        <w:rPr>
          <w:rFonts w:hint="eastAsia" w:ascii="宋体" w:hAnsi="宋体" w:cs="宋体"/>
          <w:b/>
          <w:bCs/>
          <w:spacing w:val="20"/>
          <w:kern w:val="44"/>
          <w:sz w:val="32"/>
          <w:szCs w:val="32"/>
        </w:rPr>
      </w:pPr>
    </w:p>
    <w:p w14:paraId="7DAAF80A">
      <w:pPr>
        <w:spacing w:line="440" w:lineRule="exact"/>
        <w:ind w:firstLine="723" w:firstLineChars="200"/>
        <w:jc w:val="center"/>
        <w:rPr>
          <w:rFonts w:hint="eastAsia" w:ascii="宋体" w:hAnsi="宋体" w:cs="宋体"/>
          <w:b/>
          <w:bCs/>
          <w:spacing w:val="20"/>
          <w:kern w:val="44"/>
          <w:sz w:val="32"/>
          <w:szCs w:val="32"/>
        </w:rPr>
      </w:pPr>
    </w:p>
    <w:p w14:paraId="5E35A770">
      <w:pPr>
        <w:jc w:val="center"/>
        <w:rPr>
          <w:color w:val="auto"/>
          <w:sz w:val="24"/>
          <w:highlight w:val="none"/>
        </w:rPr>
      </w:pPr>
      <w:r>
        <w:rPr>
          <w:rFonts w:hint="eastAsia" w:ascii="宋体" w:hAnsi="宋体" w:cs="宋体"/>
          <w:color w:val="auto"/>
          <w:sz w:val="48"/>
          <w:highlight w:val="none"/>
        </w:rPr>
        <w:t>政府采购合同书</w:t>
      </w:r>
    </w:p>
    <w:p w14:paraId="4A5C530E">
      <w:pPr>
        <w:spacing w:line="200" w:lineRule="exact"/>
        <w:jc w:val="left"/>
        <w:rPr>
          <w:color w:val="auto"/>
          <w:sz w:val="24"/>
          <w:highlight w:val="none"/>
        </w:rPr>
      </w:pPr>
    </w:p>
    <w:p w14:paraId="59BE5AE3">
      <w:pPr>
        <w:spacing w:line="200" w:lineRule="exact"/>
        <w:jc w:val="left"/>
        <w:rPr>
          <w:color w:val="auto"/>
          <w:sz w:val="24"/>
          <w:highlight w:val="none"/>
        </w:rPr>
      </w:pPr>
    </w:p>
    <w:p w14:paraId="0962AF82">
      <w:pPr>
        <w:jc w:val="center"/>
        <w:rPr>
          <w:rFonts w:hint="eastAsia" w:ascii="宋体" w:hAnsi="宋体" w:cs="宋体"/>
          <w:color w:val="auto"/>
          <w:sz w:val="48"/>
          <w:highlight w:val="none"/>
          <w:lang w:val="en-US" w:eastAsia="zh-CN"/>
        </w:rPr>
      </w:pPr>
      <w:r>
        <w:rPr>
          <w:rFonts w:hint="eastAsia" w:ascii="宋体" w:hAnsi="宋体" w:cs="宋体"/>
          <w:color w:val="auto"/>
          <w:sz w:val="48"/>
          <w:highlight w:val="none"/>
          <w:lang w:val="en-US" w:eastAsia="zh-CN"/>
        </w:rPr>
        <w:t>（示范文本）</w:t>
      </w:r>
    </w:p>
    <w:p w14:paraId="1F674F54">
      <w:pPr>
        <w:spacing w:line="200" w:lineRule="exact"/>
        <w:jc w:val="left"/>
        <w:rPr>
          <w:color w:val="auto"/>
          <w:sz w:val="24"/>
          <w:highlight w:val="none"/>
        </w:rPr>
      </w:pPr>
    </w:p>
    <w:p w14:paraId="4D840378">
      <w:pPr>
        <w:spacing w:line="200" w:lineRule="exact"/>
        <w:jc w:val="left"/>
        <w:rPr>
          <w:color w:val="auto"/>
          <w:sz w:val="24"/>
          <w:highlight w:val="none"/>
        </w:rPr>
      </w:pPr>
    </w:p>
    <w:p w14:paraId="486A2453">
      <w:pPr>
        <w:spacing w:line="200" w:lineRule="exact"/>
        <w:jc w:val="left"/>
        <w:rPr>
          <w:color w:val="auto"/>
          <w:sz w:val="24"/>
          <w:highlight w:val="none"/>
        </w:rPr>
      </w:pPr>
    </w:p>
    <w:p w14:paraId="3B2650C8">
      <w:pPr>
        <w:spacing w:line="440" w:lineRule="exact"/>
        <w:ind w:firstLine="723" w:firstLineChars="200"/>
        <w:jc w:val="center"/>
        <w:rPr>
          <w:rFonts w:hint="eastAsia" w:ascii="宋体" w:hAnsi="宋体" w:cs="宋体"/>
          <w:b/>
          <w:bCs/>
          <w:spacing w:val="20"/>
          <w:kern w:val="44"/>
          <w:sz w:val="32"/>
          <w:szCs w:val="32"/>
        </w:rPr>
      </w:pPr>
    </w:p>
    <w:p w14:paraId="092C1222">
      <w:pPr>
        <w:pStyle w:val="11"/>
        <w:rPr>
          <w:rFonts w:hint="eastAsia" w:ascii="宋体" w:hAnsi="宋体" w:cs="宋体"/>
          <w:b/>
          <w:bCs/>
          <w:spacing w:val="20"/>
          <w:kern w:val="44"/>
          <w:sz w:val="32"/>
          <w:szCs w:val="32"/>
        </w:rPr>
      </w:pPr>
    </w:p>
    <w:p w14:paraId="05BBED22">
      <w:pPr>
        <w:pStyle w:val="11"/>
        <w:rPr>
          <w:rFonts w:hint="eastAsia" w:ascii="宋体" w:hAnsi="宋体" w:cs="宋体"/>
          <w:b/>
          <w:bCs/>
          <w:spacing w:val="20"/>
          <w:kern w:val="44"/>
          <w:sz w:val="32"/>
          <w:szCs w:val="32"/>
        </w:rPr>
      </w:pPr>
    </w:p>
    <w:p w14:paraId="72F3756B">
      <w:pPr>
        <w:pStyle w:val="11"/>
        <w:rPr>
          <w:rFonts w:hint="eastAsia" w:ascii="宋体" w:hAnsi="宋体" w:cs="宋体"/>
          <w:b/>
          <w:bCs/>
          <w:spacing w:val="20"/>
          <w:kern w:val="44"/>
          <w:sz w:val="32"/>
          <w:szCs w:val="32"/>
        </w:rPr>
      </w:pPr>
    </w:p>
    <w:p w14:paraId="6E930336">
      <w:pPr>
        <w:pStyle w:val="11"/>
        <w:rPr>
          <w:rFonts w:hint="eastAsia" w:ascii="宋体" w:hAnsi="宋体" w:cs="宋体"/>
          <w:b/>
          <w:bCs/>
          <w:spacing w:val="20"/>
          <w:kern w:val="44"/>
          <w:sz w:val="32"/>
          <w:szCs w:val="32"/>
        </w:rPr>
      </w:pPr>
    </w:p>
    <w:p w14:paraId="30F5DC50">
      <w:pPr>
        <w:pStyle w:val="11"/>
        <w:rPr>
          <w:rFonts w:hint="eastAsia" w:ascii="宋体" w:hAnsi="宋体" w:cs="宋体"/>
          <w:b/>
          <w:bCs/>
          <w:spacing w:val="20"/>
          <w:kern w:val="44"/>
          <w:sz w:val="32"/>
          <w:szCs w:val="32"/>
        </w:rPr>
      </w:pPr>
    </w:p>
    <w:p w14:paraId="6848BD9B">
      <w:pPr>
        <w:pStyle w:val="11"/>
        <w:rPr>
          <w:rFonts w:hint="eastAsia" w:ascii="宋体" w:hAnsi="宋体" w:cs="宋体"/>
          <w:b/>
          <w:bCs/>
          <w:spacing w:val="20"/>
          <w:kern w:val="44"/>
          <w:sz w:val="32"/>
          <w:szCs w:val="32"/>
        </w:rPr>
      </w:pPr>
    </w:p>
    <w:p w14:paraId="63E7F4A9">
      <w:pPr>
        <w:pStyle w:val="11"/>
        <w:rPr>
          <w:rFonts w:hint="eastAsia" w:ascii="宋体" w:hAnsi="宋体" w:cs="宋体"/>
          <w:b/>
          <w:bCs/>
          <w:spacing w:val="20"/>
          <w:kern w:val="44"/>
          <w:sz w:val="32"/>
          <w:szCs w:val="32"/>
        </w:rPr>
      </w:pPr>
    </w:p>
    <w:p w14:paraId="6DF41978">
      <w:pPr>
        <w:pStyle w:val="11"/>
        <w:rPr>
          <w:rFonts w:hint="eastAsia" w:ascii="宋体" w:hAnsi="宋体" w:cs="宋体"/>
          <w:b/>
          <w:bCs/>
          <w:spacing w:val="20"/>
          <w:kern w:val="44"/>
          <w:sz w:val="32"/>
          <w:szCs w:val="32"/>
        </w:rPr>
      </w:pPr>
    </w:p>
    <w:p w14:paraId="5B0DA034">
      <w:pPr>
        <w:pStyle w:val="11"/>
        <w:rPr>
          <w:rFonts w:hint="eastAsia" w:ascii="宋体" w:hAnsi="宋体" w:cs="宋体"/>
          <w:b/>
          <w:bCs/>
          <w:spacing w:val="20"/>
          <w:kern w:val="44"/>
          <w:sz w:val="32"/>
          <w:szCs w:val="32"/>
        </w:rPr>
      </w:pPr>
    </w:p>
    <w:p w14:paraId="73EA1263">
      <w:pPr>
        <w:pStyle w:val="11"/>
        <w:rPr>
          <w:rFonts w:hint="eastAsia" w:ascii="宋体" w:hAnsi="宋体" w:cs="宋体"/>
          <w:b/>
          <w:bCs/>
          <w:spacing w:val="20"/>
          <w:kern w:val="44"/>
          <w:sz w:val="32"/>
          <w:szCs w:val="32"/>
        </w:rPr>
      </w:pPr>
    </w:p>
    <w:p w14:paraId="7FD0632F">
      <w:pPr>
        <w:pStyle w:val="11"/>
        <w:rPr>
          <w:rFonts w:hint="eastAsia" w:ascii="宋体" w:hAnsi="宋体" w:cs="宋体"/>
          <w:b/>
          <w:bCs/>
          <w:spacing w:val="20"/>
          <w:kern w:val="44"/>
          <w:sz w:val="32"/>
          <w:szCs w:val="32"/>
        </w:rPr>
      </w:pPr>
    </w:p>
    <w:p w14:paraId="73139043">
      <w:pPr>
        <w:pStyle w:val="11"/>
        <w:rPr>
          <w:rFonts w:hint="eastAsia" w:ascii="宋体" w:hAnsi="宋体" w:cs="宋体"/>
          <w:b/>
          <w:bCs/>
          <w:spacing w:val="20"/>
          <w:kern w:val="44"/>
          <w:sz w:val="32"/>
          <w:szCs w:val="32"/>
        </w:rPr>
      </w:pPr>
    </w:p>
    <w:p w14:paraId="0FB48922">
      <w:pPr>
        <w:spacing w:line="360" w:lineRule="auto"/>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合同主要条款</w:t>
      </w:r>
    </w:p>
    <w:p w14:paraId="125DC1A3">
      <w:pPr>
        <w:snapToGrid w:val="0"/>
        <w:spacing w:line="240" w:lineRule="atLeast"/>
        <w:ind w:right="480"/>
        <w:rPr>
          <w:rFonts w:hint="eastAsia" w:ascii="宋体" w:hAnsi="宋体" w:cs="宋体"/>
          <w:bCs/>
          <w:color w:val="auto"/>
          <w:sz w:val="24"/>
          <w:szCs w:val="24"/>
        </w:rPr>
      </w:pPr>
    </w:p>
    <w:p w14:paraId="717E3C4F">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甲方： </w:t>
      </w:r>
      <w:r>
        <w:rPr>
          <w:rFonts w:hint="eastAsia" w:ascii="宋体" w:hAnsi="宋体" w:cs="宋体"/>
          <w:color w:val="000000"/>
          <w:kern w:val="0"/>
          <w:sz w:val="24"/>
          <w:szCs w:val="24"/>
          <w:u w:val="single"/>
          <w:lang w:val="en-US" w:eastAsia="zh-CN" w:bidi="ar"/>
        </w:rPr>
        <w:t>镇坪县自然资源局（不动产登记局）</w:t>
      </w:r>
    </w:p>
    <w:p w14:paraId="71A4C58B">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乙方：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76284BB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sz w:val="24"/>
          <w:szCs w:val="24"/>
        </w:rPr>
      </w:pPr>
    </w:p>
    <w:p w14:paraId="4237CDE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根据《中华人民共和国民法典》及其他有关法律、法规，遵循平等、自愿、公平和 诚信的原则，双方就下述项目范围与相关服务事项协商一致，订立本合同。</w:t>
      </w:r>
    </w:p>
    <w:p w14:paraId="7CC5DFC8">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项目工作内容 </w:t>
      </w:r>
    </w:p>
    <w:p w14:paraId="56FDEC9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cs="宋体"/>
          <w:b w:val="0"/>
          <w:bCs/>
          <w:color w:val="000000" w:themeColor="text1"/>
          <w:sz w:val="24"/>
          <w:szCs w:val="24"/>
          <w:lang w:eastAsia="zh-CN"/>
          <w14:textFill>
            <w14:solidFill>
              <w14:schemeClr w14:val="tx1"/>
            </w14:solidFill>
          </w14:textFill>
        </w:rPr>
        <w:t>镇坪县永久基本农田调整补划方案编制。</w:t>
      </w:r>
    </w:p>
    <w:p w14:paraId="2296DF4E">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合同付款方式</w:t>
      </w:r>
    </w:p>
    <w:p w14:paraId="4FF8A35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合同总价即成交价，不受市场价变化或实际工作量变化的影响。 </w:t>
      </w:r>
    </w:p>
    <w:p w14:paraId="68C35A8A">
      <w:pPr>
        <w:keepNext w:val="0"/>
        <w:keepLines w:val="0"/>
        <w:pageBreakBefore w:val="0"/>
        <w:widowControl w:val="0"/>
        <w:numPr>
          <w:ilvl w:val="0"/>
          <w:numId w:val="9"/>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付款方式和程序： </w:t>
      </w:r>
    </w:p>
    <w:p w14:paraId="2AA3D3E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2.1 由采购人负责结算，在付款前，供应商必须开具全额发票给采购人。 </w:t>
      </w:r>
    </w:p>
    <w:p w14:paraId="6889526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 付款方式： </w:t>
      </w:r>
    </w:p>
    <w:p w14:paraId="2E80D55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以签订合同为准； </w:t>
      </w:r>
    </w:p>
    <w:p w14:paraId="23BFD7E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2.3 支付方式：银行转账。</w:t>
      </w:r>
    </w:p>
    <w:p w14:paraId="737850B8">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双方权利义务 </w:t>
      </w:r>
    </w:p>
    <w:p w14:paraId="7234D8AD">
      <w:pPr>
        <w:keepNext w:val="0"/>
        <w:keepLines w:val="0"/>
        <w:pageBreakBefore w:val="0"/>
        <w:widowControl w:val="0"/>
        <w:numPr>
          <w:ilvl w:val="0"/>
          <w:numId w:val="1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甲方责任 </w:t>
      </w:r>
    </w:p>
    <w:p w14:paraId="58018F45">
      <w:pPr>
        <w:keepNext w:val="0"/>
        <w:keepLines w:val="0"/>
        <w:pageBreakBefore w:val="0"/>
        <w:widowControl w:val="0"/>
        <w:numPr>
          <w:ilvl w:val="0"/>
          <w:numId w:val="11"/>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甲方应指派专人负责联系和协调本合同履行的全过程，并为乙方提供相应的便 利条件。 </w:t>
      </w:r>
    </w:p>
    <w:p w14:paraId="0752602A">
      <w:pPr>
        <w:keepNext w:val="0"/>
        <w:keepLines w:val="0"/>
        <w:pageBreakBefore w:val="0"/>
        <w:widowControl w:val="0"/>
        <w:numPr>
          <w:ilvl w:val="0"/>
          <w:numId w:val="11"/>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甲方应及时向乙方提供所需技术基础资料，并对其完整性、正确性及来源合法 性负责。 </w:t>
      </w:r>
    </w:p>
    <w:p w14:paraId="37CC5C84">
      <w:pPr>
        <w:keepNext w:val="0"/>
        <w:keepLines w:val="0"/>
        <w:pageBreakBefore w:val="0"/>
        <w:widowControl w:val="0"/>
        <w:numPr>
          <w:ilvl w:val="0"/>
          <w:numId w:val="11"/>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甲方变更本合同约定的内容或对所提供资料作较大修改时，应于确定变更或修 改之日起 7 个工作日内书面告知乙方，并由甲、乙双方另行协商签订补充协议，重新明 确有关条款。 </w:t>
      </w:r>
    </w:p>
    <w:p w14:paraId="23FA2A83">
      <w:pPr>
        <w:keepNext w:val="0"/>
        <w:keepLines w:val="0"/>
        <w:pageBreakBefore w:val="0"/>
        <w:widowControl w:val="0"/>
        <w:numPr>
          <w:ilvl w:val="0"/>
          <w:numId w:val="11"/>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甲方应按本合同第四条约定的时间按期如数付款。</w:t>
      </w:r>
    </w:p>
    <w:p w14:paraId="402EB7F9">
      <w:pPr>
        <w:keepNext w:val="0"/>
        <w:keepLines w:val="0"/>
        <w:pageBreakBefore w:val="0"/>
        <w:widowControl w:val="0"/>
        <w:numPr>
          <w:ilvl w:val="0"/>
          <w:numId w:val="10"/>
        </w:numPr>
        <w:kinsoku/>
        <w:wordWrap/>
        <w:overflowPunct/>
        <w:topLinePunct w:val="0"/>
        <w:autoSpaceDE/>
        <w:autoSpaceDN/>
        <w:bidi w:val="0"/>
        <w:adjustRightInd/>
        <w:snapToGrid/>
        <w:spacing w:line="440" w:lineRule="exact"/>
        <w:ind w:left="420" w:leftChars="200" w:firstLine="0" w:firstLine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乙方责任 </w:t>
      </w:r>
    </w:p>
    <w:p w14:paraId="043ED304">
      <w:pPr>
        <w:keepNext w:val="0"/>
        <w:keepLines w:val="0"/>
        <w:pageBreakBefore w:val="0"/>
        <w:widowControl w:val="0"/>
        <w:numPr>
          <w:ilvl w:val="0"/>
          <w:numId w:val="12"/>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对于本合同涉及的内容，乙方应严格遵照国家及地方相关法律、法规、规范、 标准和技术规定的深度要求以及本合同约定的内容向甲方交付成果，并对提交的成果真实性、合法性等质量问题负责。</w:t>
      </w:r>
    </w:p>
    <w:p w14:paraId="5D2DBCBA">
      <w:pPr>
        <w:keepNext w:val="0"/>
        <w:keepLines w:val="0"/>
        <w:pageBreakBefore w:val="0"/>
        <w:widowControl w:val="0"/>
        <w:numPr>
          <w:ilvl w:val="0"/>
          <w:numId w:val="12"/>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乙方应按各阶段成果的审查和意见负责项目成果的修改完善，修改次数不得超 过三次，并向甲方提交对应修改的书面报告。未经甲方同意，乙方不得擅自修改已经验 收的成果文件。 </w:t>
      </w:r>
    </w:p>
    <w:p w14:paraId="525A8D3F">
      <w:pPr>
        <w:keepNext w:val="0"/>
        <w:keepLines w:val="0"/>
        <w:pageBreakBefore w:val="0"/>
        <w:widowControl w:val="0"/>
        <w:numPr>
          <w:ilvl w:val="0"/>
          <w:numId w:val="12"/>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乙方应对其工作人员在现场工作期间的一切行为负责，如安全事故责任及因此 发生的人身损害赔偿和其它费用由乙方承担。</w:t>
      </w:r>
    </w:p>
    <w:p w14:paraId="508C014B">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违约责任 </w:t>
      </w:r>
    </w:p>
    <w:p w14:paraId="78C57BFC">
      <w:pPr>
        <w:keepNext w:val="0"/>
        <w:keepLines w:val="0"/>
        <w:pageBreakBefore w:val="0"/>
        <w:widowControl w:val="0"/>
        <w:numPr>
          <w:ilvl w:val="0"/>
          <w:numId w:val="13"/>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因乙方原因造成合同终止或解除的，乙方须退还甲方已付的所有款项，对甲方造成损 失的，还应当承担损害赔偿责任，但赔偿范围以违约方订立合同时预见到或应当预见到的直 接损失为限。 </w:t>
      </w:r>
    </w:p>
    <w:p w14:paraId="0CC5E9D1">
      <w:pPr>
        <w:keepNext w:val="0"/>
        <w:keepLines w:val="0"/>
        <w:pageBreakBefore w:val="0"/>
        <w:widowControl w:val="0"/>
        <w:numPr>
          <w:ilvl w:val="0"/>
          <w:numId w:val="13"/>
        </w:numPr>
        <w:kinsoku/>
        <w:wordWrap/>
        <w:overflowPunct/>
        <w:topLinePunct w:val="0"/>
        <w:autoSpaceDE/>
        <w:autoSpaceDN/>
        <w:bidi w:val="0"/>
        <w:adjustRightInd/>
        <w:snapToGrid/>
        <w:spacing w:line="440" w:lineRule="exact"/>
        <w:ind w:left="420" w:leftChars="200" w:firstLine="0" w:firstLine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因甲方原因造成各阶段项目成果审查、验收和提交验收意见滞后的，则乙方按合同约 定提交成果的时间相应顺延，顺延时间应当与甲方迟延时间相当。 </w:t>
      </w:r>
    </w:p>
    <w:p w14:paraId="7D501AEB">
      <w:pPr>
        <w:keepNext w:val="0"/>
        <w:keepLines w:val="0"/>
        <w:pageBreakBefore w:val="0"/>
        <w:widowControl w:val="0"/>
        <w:numPr>
          <w:ilvl w:val="0"/>
          <w:numId w:val="13"/>
        </w:numPr>
        <w:kinsoku/>
        <w:wordWrap/>
        <w:overflowPunct/>
        <w:topLinePunct w:val="0"/>
        <w:autoSpaceDE/>
        <w:autoSpaceDN/>
        <w:bidi w:val="0"/>
        <w:adjustRightInd/>
        <w:snapToGrid/>
        <w:spacing w:line="440" w:lineRule="exact"/>
        <w:ind w:left="420" w:leftChars="200" w:firstLine="0" w:firstLineChars="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因乙方原因造成项目成果质量问题的，乙方除负责及时采取有效补救措施外，应在甲 方指定的合理期限内完成整改并通过验收。受损失部分的合同价款已经支付的，乙方应当退 还；未支付的，不予支付。对甲方造成损失的，还应当承担损害赔偿责任，但赔偿范围 以违约方订立合同时预见到或应当预见到的直接损失为限。</w:t>
      </w:r>
    </w:p>
    <w:p w14:paraId="68883061">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保密责任 </w:t>
      </w:r>
    </w:p>
    <w:p w14:paraId="08DDA4D1">
      <w:pPr>
        <w:keepNext w:val="0"/>
        <w:keepLines w:val="0"/>
        <w:pageBreakBefore w:val="0"/>
        <w:widowControl w:val="0"/>
        <w:numPr>
          <w:ilvl w:val="0"/>
          <w:numId w:val="14"/>
        </w:numPr>
        <w:kinsoku/>
        <w:wordWrap/>
        <w:overflowPunct/>
        <w:topLinePunct w:val="0"/>
        <w:autoSpaceDE/>
        <w:autoSpaceDN/>
        <w:bidi w:val="0"/>
        <w:adjustRightInd/>
        <w:snapToGrid/>
        <w:spacing w:line="440" w:lineRule="exact"/>
        <w:ind w:left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甲、乙双方均应遵守《中华人民共和国保守国家秘密法》和其它相关规定，妥善保管 对方提供的资料，保守对方的各项秘密，并保护对方的知识产权；未经对方书面许可，不得 利用知悉的对方资料和成果为自己或第三方谋取利益。 </w:t>
      </w:r>
    </w:p>
    <w:p w14:paraId="642E3B57">
      <w:pPr>
        <w:keepNext w:val="0"/>
        <w:keepLines w:val="0"/>
        <w:pageBreakBefore w:val="0"/>
        <w:widowControl w:val="0"/>
        <w:numPr>
          <w:ilvl w:val="0"/>
          <w:numId w:val="14"/>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未经对方许可，任何一方均不得将对方的资料或成果向第三方转让或用于本合同 外的其它项目。 </w:t>
      </w:r>
    </w:p>
    <w:p w14:paraId="7321C9E8">
      <w:pPr>
        <w:keepNext w:val="0"/>
        <w:keepLines w:val="0"/>
        <w:pageBreakBefore w:val="0"/>
        <w:widowControl w:val="0"/>
        <w:numPr>
          <w:ilvl w:val="0"/>
          <w:numId w:val="14"/>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乙方须以保密方式处理双方直接或间接提供的任何资料，以及因本项目研究工作 所直接或间接取得、处理或接触的任何其它资料。</w:t>
      </w:r>
    </w:p>
    <w:p w14:paraId="1F34A0C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乙方违反保密义务的，甲方有权要求乙方承担违约责任，包括但不限于赔偿甲方因此遭 受的全部损失，并有权单方解除合同。未经甲方同意，乙方不得向第三方透露任何有关 项目的内容，或公开任何项目中间成果或最终成果。</w:t>
      </w:r>
    </w:p>
    <w:p w14:paraId="5327E231">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合同的变更及解除 </w:t>
      </w:r>
    </w:p>
    <w:p w14:paraId="701EFD0D">
      <w:pPr>
        <w:keepNext w:val="0"/>
        <w:keepLines w:val="0"/>
        <w:pageBreakBefore w:val="0"/>
        <w:widowControl w:val="0"/>
        <w:numPr>
          <w:ilvl w:val="0"/>
          <w:numId w:val="15"/>
        </w:numPr>
        <w:kinsoku/>
        <w:wordWrap/>
        <w:overflowPunct/>
        <w:topLinePunct w:val="0"/>
        <w:autoSpaceDE/>
        <w:autoSpaceDN/>
        <w:bidi w:val="0"/>
        <w:adjustRightInd/>
        <w:snapToGrid/>
        <w:spacing w:line="440" w:lineRule="exact"/>
        <w:ind w:left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本合同经双方协商一致，可以变更或者解除。 </w:t>
      </w:r>
    </w:p>
    <w:p w14:paraId="6FEB2452">
      <w:pPr>
        <w:keepNext w:val="0"/>
        <w:keepLines w:val="0"/>
        <w:pageBreakBefore w:val="0"/>
        <w:widowControl w:val="0"/>
        <w:numPr>
          <w:ilvl w:val="0"/>
          <w:numId w:val="15"/>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一方严重违反合同约定，包括但不限于乙方累计三次未通过省级核查、逾期交付 超过 30 日等情形，致使合同目的无法实现的，另一方有权解除合同。</w:t>
      </w:r>
    </w:p>
    <w:p w14:paraId="1E663913">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合同争议的解决方式 </w:t>
      </w:r>
    </w:p>
    <w:p w14:paraId="6C1D3DB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本合同履行期间发生争议的，由甲、乙双方协商解决；协商不成的，双方均可向甲方住 所地人民法院起诉。如因相关争议向人民法院提起诉讼，除争议事项及争议事项所涉及的条 款外，双方应当继续履行本合同项下的其他义务。</w:t>
      </w:r>
    </w:p>
    <w:p w14:paraId="273FC746">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其他 </w:t>
      </w:r>
    </w:p>
    <w:p w14:paraId="4FF02997">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因不可抗力（包括因战争、动乱或其它非甲、乙方责任造成的爆炸、火灾及其它不能 预见、不能避免且不能克服的客观情况）影响本合同履行或者致使合同无法履行时，受到不 可抗力一方可以免除赔偿责任。但受到不可抗力一方应当在 10 日内书面通知另一方，并提 供不可抗力的详细情况，以及合同不能履行、部分不能履行或者需要延期履行的理由和有关 证据。受影响方须提供省级以上气象部门、应急管理部门或公证机构出具的不可抗力发生及 持续时间的有效证明文件。不可抗力发生后，双方应当尽可能地采取适当措施及时减轻不可 抗力对本合同履行所造成的影响。没有采取措施或者所采取的措施明显不当的，该方应当就 损失扩大部分向另一方承担赔偿责任。不可抗力发生后，按照不可抗力对履行合同的影响程 度，由双方协商是否解除或者变更合同。 </w:t>
      </w:r>
    </w:p>
    <w:p w14:paraId="2FEACACE">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本合同未尽事宜，由双方协商签订补充协议，补充协议与本合同具有同等法律效力。 补充协议应由双方授权代表签字并加盖公章后生效。</w:t>
      </w:r>
    </w:p>
    <w:p w14:paraId="027A6344">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乙方未经甲方书面同意，不得以任何形式转让、分包、委托第三方履行本合同项下的 全部或部分义务，否则甲方有权解除合同并追究乙方违约责任。 乙方违反本条款擅自转让 合同义务的，甲方有权单方解除合同，并要求乙方承担违约责任及赔偿甲方因此遭受的全部 损失。 </w:t>
      </w:r>
    </w:p>
    <w:p w14:paraId="145F793A">
      <w:pPr>
        <w:keepNext w:val="0"/>
        <w:keepLines w:val="0"/>
        <w:pageBreakBefore w:val="0"/>
        <w:widowControl w:val="0"/>
        <w:numPr>
          <w:ilvl w:val="0"/>
          <w:numId w:val="16"/>
        </w:numPr>
        <w:kinsoku/>
        <w:wordWrap/>
        <w:overflowPunct/>
        <w:topLinePunct w:val="0"/>
        <w:autoSpaceDE/>
        <w:autoSpaceDN/>
        <w:bidi w:val="0"/>
        <w:adjustRightInd/>
        <w:snapToGrid/>
        <w:spacing w:line="440" w:lineRule="exact"/>
        <w:ind w:left="420" w:leftChars="200" w:firstLine="0" w:firstLineChars="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本合同自双方法定代表人或者授权代表人签字并加盖单位公章后生效，甲、乙双 方履行完毕，本合同终止。</w:t>
      </w:r>
    </w:p>
    <w:p w14:paraId="03E62C89">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left="0" w:leftChars="0"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合同订立 </w:t>
      </w:r>
    </w:p>
    <w:p w14:paraId="4B42FA2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both"/>
        <w:textAlignment w:val="auto"/>
        <w:rPr>
          <w:rFonts w:ascii="宋体" w:hAnsi="宋体" w:eastAsia="宋体" w:cs="宋体"/>
          <w:sz w:val="24"/>
          <w:szCs w:val="24"/>
        </w:rPr>
      </w:pPr>
      <w:r>
        <w:rPr>
          <w:rFonts w:hint="eastAsia" w:ascii="宋体" w:hAnsi="宋体" w:eastAsia="宋体" w:cs="宋体"/>
          <w:b w:val="0"/>
          <w:bCs w:val="0"/>
          <w:color w:val="000000"/>
          <w:sz w:val="24"/>
          <w:szCs w:val="24"/>
        </w:rPr>
        <w:t>本合同一式肆份，甲方贰份、乙方贰份，具有同等法律效力。</w:t>
      </w:r>
    </w:p>
    <w:tbl>
      <w:tblPr>
        <w:tblStyle w:val="25"/>
        <w:tblW w:w="8688" w:type="dxa"/>
        <w:tblInd w:w="-60" w:type="dxa"/>
        <w:tblLayout w:type="fixed"/>
        <w:tblCellMar>
          <w:top w:w="0" w:type="dxa"/>
          <w:left w:w="108" w:type="dxa"/>
          <w:bottom w:w="0" w:type="dxa"/>
          <w:right w:w="108" w:type="dxa"/>
        </w:tblCellMar>
      </w:tblPr>
      <w:tblGrid>
        <w:gridCol w:w="1968"/>
        <w:gridCol w:w="2160"/>
        <w:gridCol w:w="1800"/>
        <w:gridCol w:w="2760"/>
      </w:tblGrid>
      <w:tr w14:paraId="1C30B866">
        <w:tblPrEx>
          <w:tblCellMar>
            <w:top w:w="0" w:type="dxa"/>
            <w:left w:w="108" w:type="dxa"/>
            <w:bottom w:w="0" w:type="dxa"/>
            <w:right w:w="108" w:type="dxa"/>
          </w:tblCellMar>
        </w:tblPrEx>
        <w:trPr>
          <w:trHeight w:val="811" w:hRule="atLeast"/>
        </w:trPr>
        <w:tc>
          <w:tcPr>
            <w:tcW w:w="1968" w:type="dxa"/>
            <w:noWrap w:val="0"/>
            <w:vAlign w:val="center"/>
          </w:tcPr>
          <w:p w14:paraId="03A27A43">
            <w:pPr>
              <w:spacing w:line="312" w:lineRule="auto"/>
              <w:jc w:val="center"/>
              <w:rPr>
                <w:rFonts w:hint="eastAsia" w:hAnsi="宋体"/>
                <w:b/>
                <w:color w:val="000000"/>
                <w:sz w:val="24"/>
                <w:szCs w:val="24"/>
                <w:lang w:eastAsia="zh-CN"/>
              </w:rPr>
            </w:pPr>
          </w:p>
          <w:p w14:paraId="0A0AC646">
            <w:pPr>
              <w:spacing w:line="312" w:lineRule="auto"/>
              <w:jc w:val="center"/>
              <w:rPr>
                <w:b/>
                <w:color w:val="000000"/>
                <w:sz w:val="24"/>
                <w:szCs w:val="24"/>
              </w:rPr>
            </w:pPr>
            <w:r>
              <w:rPr>
                <w:rFonts w:hint="eastAsia" w:hAnsi="宋体"/>
                <w:b/>
                <w:color w:val="000000"/>
                <w:sz w:val="24"/>
                <w:szCs w:val="24"/>
                <w:lang w:eastAsia="zh-CN"/>
              </w:rPr>
              <w:t>甲方</w:t>
            </w:r>
            <w:r>
              <w:rPr>
                <w:rFonts w:hAnsi="宋体"/>
                <w:b/>
                <w:color w:val="000000"/>
                <w:sz w:val="24"/>
                <w:szCs w:val="24"/>
              </w:rPr>
              <w:t>（盖章）：</w:t>
            </w:r>
          </w:p>
        </w:tc>
        <w:tc>
          <w:tcPr>
            <w:tcW w:w="2160" w:type="dxa"/>
            <w:noWrap w:val="0"/>
            <w:vAlign w:val="center"/>
          </w:tcPr>
          <w:p w14:paraId="5A7DCE30">
            <w:pPr>
              <w:spacing w:line="312" w:lineRule="auto"/>
              <w:rPr>
                <w:color w:val="000000"/>
                <w:sz w:val="24"/>
                <w:szCs w:val="24"/>
              </w:rPr>
            </w:pPr>
          </w:p>
        </w:tc>
        <w:tc>
          <w:tcPr>
            <w:tcW w:w="1800" w:type="dxa"/>
            <w:noWrap w:val="0"/>
            <w:vAlign w:val="center"/>
          </w:tcPr>
          <w:p w14:paraId="6CC4E5D7">
            <w:pPr>
              <w:spacing w:line="312" w:lineRule="auto"/>
              <w:jc w:val="center"/>
              <w:rPr>
                <w:b/>
                <w:color w:val="000000"/>
                <w:sz w:val="24"/>
                <w:szCs w:val="24"/>
              </w:rPr>
            </w:pPr>
            <w:r>
              <w:rPr>
                <w:rFonts w:hint="eastAsia" w:hAnsi="宋体"/>
                <w:b/>
                <w:color w:val="000000"/>
                <w:sz w:val="24"/>
                <w:szCs w:val="24"/>
                <w:lang w:eastAsia="zh-CN"/>
              </w:rPr>
              <w:t>乙方</w:t>
            </w:r>
            <w:r>
              <w:rPr>
                <w:rFonts w:hAnsi="宋体"/>
                <w:b/>
                <w:color w:val="000000"/>
                <w:sz w:val="24"/>
                <w:szCs w:val="24"/>
              </w:rPr>
              <w:t>（盖章）：</w:t>
            </w:r>
          </w:p>
        </w:tc>
        <w:tc>
          <w:tcPr>
            <w:tcW w:w="2760" w:type="dxa"/>
            <w:noWrap w:val="0"/>
            <w:vAlign w:val="center"/>
          </w:tcPr>
          <w:p w14:paraId="4A2963A5">
            <w:pPr>
              <w:spacing w:line="312" w:lineRule="auto"/>
              <w:rPr>
                <w:rFonts w:hAnsi="宋体"/>
                <w:color w:val="000000"/>
                <w:sz w:val="24"/>
                <w:szCs w:val="24"/>
              </w:rPr>
            </w:pPr>
          </w:p>
        </w:tc>
      </w:tr>
      <w:tr w14:paraId="47239FD1">
        <w:tblPrEx>
          <w:tblCellMar>
            <w:top w:w="0" w:type="dxa"/>
            <w:left w:w="108" w:type="dxa"/>
            <w:bottom w:w="0" w:type="dxa"/>
            <w:right w:w="108" w:type="dxa"/>
          </w:tblCellMar>
        </w:tblPrEx>
        <w:trPr>
          <w:trHeight w:val="811" w:hRule="atLeast"/>
        </w:trPr>
        <w:tc>
          <w:tcPr>
            <w:tcW w:w="1968" w:type="dxa"/>
            <w:noWrap w:val="0"/>
            <w:vAlign w:val="center"/>
          </w:tcPr>
          <w:p w14:paraId="77094AF2">
            <w:pPr>
              <w:spacing w:line="312" w:lineRule="auto"/>
              <w:jc w:val="center"/>
              <w:rPr>
                <w:b/>
                <w:color w:val="000000"/>
                <w:sz w:val="24"/>
                <w:szCs w:val="24"/>
              </w:rPr>
            </w:pPr>
            <w:r>
              <w:rPr>
                <w:rFonts w:hAnsi="宋体"/>
                <w:b/>
                <w:color w:val="000000"/>
                <w:sz w:val="24"/>
                <w:szCs w:val="24"/>
              </w:rPr>
              <w:t>法定代表人</w:t>
            </w:r>
          </w:p>
        </w:tc>
        <w:tc>
          <w:tcPr>
            <w:tcW w:w="2160" w:type="dxa"/>
            <w:noWrap w:val="0"/>
            <w:vAlign w:val="center"/>
          </w:tcPr>
          <w:p w14:paraId="4D45A5E7">
            <w:pPr>
              <w:spacing w:line="312" w:lineRule="auto"/>
              <w:rPr>
                <w:color w:val="000000"/>
                <w:sz w:val="24"/>
                <w:szCs w:val="24"/>
              </w:rPr>
            </w:pPr>
          </w:p>
        </w:tc>
        <w:tc>
          <w:tcPr>
            <w:tcW w:w="1800" w:type="dxa"/>
            <w:noWrap w:val="0"/>
            <w:vAlign w:val="center"/>
          </w:tcPr>
          <w:p w14:paraId="078C97D3">
            <w:pPr>
              <w:spacing w:line="312" w:lineRule="auto"/>
              <w:jc w:val="center"/>
              <w:rPr>
                <w:b/>
                <w:color w:val="000000"/>
                <w:sz w:val="24"/>
                <w:szCs w:val="24"/>
              </w:rPr>
            </w:pPr>
            <w:r>
              <w:rPr>
                <w:rFonts w:hAnsi="宋体"/>
                <w:b/>
                <w:color w:val="000000"/>
                <w:sz w:val="24"/>
                <w:szCs w:val="24"/>
              </w:rPr>
              <w:t>法定代表人</w:t>
            </w:r>
          </w:p>
        </w:tc>
        <w:tc>
          <w:tcPr>
            <w:tcW w:w="2760" w:type="dxa"/>
            <w:noWrap w:val="0"/>
            <w:vAlign w:val="center"/>
          </w:tcPr>
          <w:p w14:paraId="0A9706CC">
            <w:pPr>
              <w:spacing w:line="312" w:lineRule="auto"/>
              <w:rPr>
                <w:rFonts w:hAnsi="宋体"/>
                <w:color w:val="000000"/>
                <w:sz w:val="24"/>
                <w:szCs w:val="24"/>
              </w:rPr>
            </w:pPr>
          </w:p>
        </w:tc>
      </w:tr>
      <w:tr w14:paraId="083A161B">
        <w:tblPrEx>
          <w:tblCellMar>
            <w:top w:w="0" w:type="dxa"/>
            <w:left w:w="108" w:type="dxa"/>
            <w:bottom w:w="0" w:type="dxa"/>
            <w:right w:w="108" w:type="dxa"/>
          </w:tblCellMar>
        </w:tblPrEx>
        <w:trPr>
          <w:trHeight w:val="811" w:hRule="atLeast"/>
        </w:trPr>
        <w:tc>
          <w:tcPr>
            <w:tcW w:w="1968" w:type="dxa"/>
            <w:noWrap w:val="0"/>
            <w:vAlign w:val="center"/>
          </w:tcPr>
          <w:p w14:paraId="69CEE891">
            <w:pPr>
              <w:spacing w:line="312" w:lineRule="auto"/>
              <w:jc w:val="center"/>
              <w:rPr>
                <w:b/>
                <w:color w:val="000000"/>
                <w:sz w:val="24"/>
                <w:szCs w:val="24"/>
              </w:rPr>
            </w:pPr>
            <w:r>
              <w:rPr>
                <w:rFonts w:hAnsi="宋体"/>
                <w:b/>
                <w:color w:val="000000"/>
                <w:sz w:val="24"/>
                <w:szCs w:val="24"/>
              </w:rPr>
              <w:t>或委托代理人：</w:t>
            </w:r>
          </w:p>
        </w:tc>
        <w:tc>
          <w:tcPr>
            <w:tcW w:w="2160" w:type="dxa"/>
            <w:noWrap w:val="0"/>
            <w:vAlign w:val="center"/>
          </w:tcPr>
          <w:p w14:paraId="4A82AD18">
            <w:pPr>
              <w:spacing w:line="312" w:lineRule="auto"/>
              <w:rPr>
                <w:color w:val="000000"/>
                <w:sz w:val="24"/>
                <w:szCs w:val="24"/>
              </w:rPr>
            </w:pPr>
          </w:p>
        </w:tc>
        <w:tc>
          <w:tcPr>
            <w:tcW w:w="1800" w:type="dxa"/>
            <w:noWrap w:val="0"/>
            <w:vAlign w:val="center"/>
          </w:tcPr>
          <w:p w14:paraId="447886D2">
            <w:pPr>
              <w:spacing w:line="312" w:lineRule="auto"/>
              <w:jc w:val="center"/>
              <w:rPr>
                <w:b/>
                <w:color w:val="000000"/>
                <w:sz w:val="24"/>
                <w:szCs w:val="24"/>
              </w:rPr>
            </w:pPr>
            <w:r>
              <w:rPr>
                <w:rFonts w:hAnsi="宋体"/>
                <w:b/>
                <w:color w:val="000000"/>
                <w:sz w:val="24"/>
                <w:szCs w:val="24"/>
              </w:rPr>
              <w:t>或委托代理人：</w:t>
            </w:r>
          </w:p>
        </w:tc>
        <w:tc>
          <w:tcPr>
            <w:tcW w:w="2760" w:type="dxa"/>
            <w:noWrap w:val="0"/>
            <w:vAlign w:val="center"/>
          </w:tcPr>
          <w:p w14:paraId="0F35DB98">
            <w:pPr>
              <w:spacing w:line="312" w:lineRule="auto"/>
              <w:rPr>
                <w:rFonts w:hAnsi="宋体"/>
                <w:color w:val="000000"/>
                <w:sz w:val="24"/>
                <w:szCs w:val="24"/>
              </w:rPr>
            </w:pPr>
          </w:p>
        </w:tc>
      </w:tr>
      <w:tr w14:paraId="541929AA">
        <w:tblPrEx>
          <w:tblCellMar>
            <w:top w:w="0" w:type="dxa"/>
            <w:left w:w="108" w:type="dxa"/>
            <w:bottom w:w="0" w:type="dxa"/>
            <w:right w:w="108" w:type="dxa"/>
          </w:tblCellMar>
        </w:tblPrEx>
        <w:trPr>
          <w:trHeight w:val="811" w:hRule="atLeast"/>
        </w:trPr>
        <w:tc>
          <w:tcPr>
            <w:tcW w:w="1968" w:type="dxa"/>
            <w:noWrap w:val="0"/>
            <w:vAlign w:val="center"/>
          </w:tcPr>
          <w:p w14:paraId="36AA4C7C">
            <w:pPr>
              <w:spacing w:line="312" w:lineRule="auto"/>
              <w:jc w:val="center"/>
              <w:rPr>
                <w:b/>
                <w:color w:val="000000"/>
                <w:sz w:val="24"/>
                <w:szCs w:val="24"/>
              </w:rPr>
            </w:pPr>
            <w:r>
              <w:rPr>
                <w:rFonts w:hAnsi="宋体"/>
                <w:b/>
                <w:color w:val="000000"/>
                <w:sz w:val="24"/>
                <w:szCs w:val="24"/>
              </w:rPr>
              <w:t>签字地点：</w:t>
            </w:r>
          </w:p>
        </w:tc>
        <w:tc>
          <w:tcPr>
            <w:tcW w:w="2160" w:type="dxa"/>
            <w:noWrap w:val="0"/>
            <w:vAlign w:val="center"/>
          </w:tcPr>
          <w:p w14:paraId="243FFD3A">
            <w:pPr>
              <w:spacing w:line="312" w:lineRule="auto"/>
              <w:rPr>
                <w:color w:val="000000"/>
                <w:sz w:val="24"/>
                <w:szCs w:val="24"/>
              </w:rPr>
            </w:pPr>
          </w:p>
        </w:tc>
        <w:tc>
          <w:tcPr>
            <w:tcW w:w="1800" w:type="dxa"/>
            <w:noWrap w:val="0"/>
            <w:vAlign w:val="center"/>
          </w:tcPr>
          <w:p w14:paraId="27A038FA">
            <w:pPr>
              <w:spacing w:line="312" w:lineRule="auto"/>
              <w:jc w:val="center"/>
              <w:rPr>
                <w:b/>
                <w:color w:val="000000"/>
                <w:sz w:val="24"/>
                <w:szCs w:val="24"/>
              </w:rPr>
            </w:pPr>
            <w:r>
              <w:rPr>
                <w:rFonts w:hAnsi="宋体"/>
                <w:b/>
                <w:color w:val="000000"/>
                <w:sz w:val="24"/>
                <w:szCs w:val="24"/>
              </w:rPr>
              <w:t>签字地点：</w:t>
            </w:r>
          </w:p>
        </w:tc>
        <w:tc>
          <w:tcPr>
            <w:tcW w:w="2760" w:type="dxa"/>
            <w:noWrap w:val="0"/>
            <w:vAlign w:val="center"/>
          </w:tcPr>
          <w:p w14:paraId="155D1387">
            <w:pPr>
              <w:spacing w:line="312" w:lineRule="auto"/>
              <w:rPr>
                <w:rFonts w:hint="eastAsia" w:hAnsi="宋体" w:eastAsia="宋体"/>
                <w:color w:val="000000"/>
                <w:sz w:val="24"/>
                <w:szCs w:val="24"/>
                <w:lang w:eastAsia="zh-CN"/>
              </w:rPr>
            </w:pPr>
          </w:p>
        </w:tc>
      </w:tr>
      <w:tr w14:paraId="258BFDCD">
        <w:tblPrEx>
          <w:tblCellMar>
            <w:top w:w="0" w:type="dxa"/>
            <w:left w:w="108" w:type="dxa"/>
            <w:bottom w:w="0" w:type="dxa"/>
            <w:right w:w="108" w:type="dxa"/>
          </w:tblCellMar>
        </w:tblPrEx>
        <w:trPr>
          <w:trHeight w:val="811" w:hRule="atLeast"/>
        </w:trPr>
        <w:tc>
          <w:tcPr>
            <w:tcW w:w="1968" w:type="dxa"/>
            <w:noWrap w:val="0"/>
            <w:vAlign w:val="center"/>
          </w:tcPr>
          <w:p w14:paraId="2C0E9AE3">
            <w:pPr>
              <w:spacing w:line="312" w:lineRule="auto"/>
              <w:jc w:val="center"/>
              <w:rPr>
                <w:b/>
                <w:color w:val="000000"/>
                <w:sz w:val="24"/>
                <w:szCs w:val="24"/>
              </w:rPr>
            </w:pPr>
            <w:r>
              <w:rPr>
                <w:rFonts w:hAnsi="宋体"/>
                <w:b/>
                <w:color w:val="000000"/>
                <w:sz w:val="24"/>
                <w:szCs w:val="24"/>
              </w:rPr>
              <w:t>经</w:t>
            </w:r>
            <w:r>
              <w:rPr>
                <w:b/>
                <w:color w:val="000000"/>
                <w:sz w:val="24"/>
                <w:szCs w:val="24"/>
              </w:rPr>
              <w:t xml:space="preserve"> </w:t>
            </w:r>
            <w:r>
              <w:rPr>
                <w:rFonts w:hAnsi="宋体"/>
                <w:b/>
                <w:color w:val="000000"/>
                <w:sz w:val="24"/>
                <w:szCs w:val="24"/>
              </w:rPr>
              <w:t>办</w:t>
            </w:r>
            <w:r>
              <w:rPr>
                <w:b/>
                <w:color w:val="000000"/>
                <w:sz w:val="24"/>
                <w:szCs w:val="24"/>
              </w:rPr>
              <w:t xml:space="preserve"> </w:t>
            </w:r>
            <w:r>
              <w:rPr>
                <w:rFonts w:hAnsi="宋体"/>
                <w:b/>
                <w:color w:val="000000"/>
                <w:sz w:val="24"/>
                <w:szCs w:val="24"/>
              </w:rPr>
              <w:t>人：</w:t>
            </w:r>
          </w:p>
        </w:tc>
        <w:tc>
          <w:tcPr>
            <w:tcW w:w="2160" w:type="dxa"/>
            <w:noWrap w:val="0"/>
            <w:vAlign w:val="center"/>
          </w:tcPr>
          <w:p w14:paraId="0692B34C">
            <w:pPr>
              <w:spacing w:line="312" w:lineRule="auto"/>
              <w:rPr>
                <w:color w:val="000000"/>
                <w:sz w:val="24"/>
                <w:szCs w:val="24"/>
              </w:rPr>
            </w:pPr>
          </w:p>
        </w:tc>
        <w:tc>
          <w:tcPr>
            <w:tcW w:w="1800" w:type="dxa"/>
            <w:noWrap w:val="0"/>
            <w:vAlign w:val="center"/>
          </w:tcPr>
          <w:p w14:paraId="75E4B9D9">
            <w:pPr>
              <w:spacing w:line="312" w:lineRule="auto"/>
              <w:jc w:val="center"/>
              <w:rPr>
                <w:b/>
                <w:color w:val="000000"/>
                <w:sz w:val="24"/>
                <w:szCs w:val="24"/>
              </w:rPr>
            </w:pPr>
            <w:r>
              <w:rPr>
                <w:rFonts w:hAnsi="宋体"/>
                <w:b/>
                <w:color w:val="000000"/>
                <w:sz w:val="24"/>
                <w:szCs w:val="24"/>
              </w:rPr>
              <w:t>经</w:t>
            </w:r>
            <w:r>
              <w:rPr>
                <w:b/>
                <w:color w:val="000000"/>
                <w:sz w:val="24"/>
                <w:szCs w:val="24"/>
              </w:rPr>
              <w:t xml:space="preserve"> </w:t>
            </w:r>
            <w:r>
              <w:rPr>
                <w:rFonts w:hAnsi="宋体"/>
                <w:b/>
                <w:color w:val="000000"/>
                <w:sz w:val="24"/>
                <w:szCs w:val="24"/>
              </w:rPr>
              <w:t>办</w:t>
            </w:r>
            <w:r>
              <w:rPr>
                <w:b/>
                <w:color w:val="000000"/>
                <w:sz w:val="24"/>
                <w:szCs w:val="24"/>
              </w:rPr>
              <w:t xml:space="preserve"> </w:t>
            </w:r>
            <w:r>
              <w:rPr>
                <w:rFonts w:hAnsi="宋体"/>
                <w:b/>
                <w:color w:val="000000"/>
                <w:sz w:val="24"/>
                <w:szCs w:val="24"/>
              </w:rPr>
              <w:t>人：</w:t>
            </w:r>
          </w:p>
        </w:tc>
        <w:tc>
          <w:tcPr>
            <w:tcW w:w="2760" w:type="dxa"/>
            <w:noWrap w:val="0"/>
            <w:vAlign w:val="center"/>
          </w:tcPr>
          <w:p w14:paraId="46A4CBE6">
            <w:pPr>
              <w:spacing w:line="312" w:lineRule="auto"/>
              <w:rPr>
                <w:rFonts w:hint="eastAsia" w:hAnsi="宋体" w:eastAsia="宋体"/>
                <w:color w:val="000000"/>
                <w:sz w:val="24"/>
                <w:szCs w:val="24"/>
                <w:lang w:eastAsia="zh-CN"/>
              </w:rPr>
            </w:pPr>
          </w:p>
        </w:tc>
      </w:tr>
      <w:tr w14:paraId="7333161D">
        <w:tblPrEx>
          <w:tblCellMar>
            <w:top w:w="0" w:type="dxa"/>
            <w:left w:w="108" w:type="dxa"/>
            <w:bottom w:w="0" w:type="dxa"/>
            <w:right w:w="108" w:type="dxa"/>
          </w:tblCellMar>
        </w:tblPrEx>
        <w:trPr>
          <w:trHeight w:val="811" w:hRule="atLeast"/>
        </w:trPr>
        <w:tc>
          <w:tcPr>
            <w:tcW w:w="1968" w:type="dxa"/>
            <w:noWrap w:val="0"/>
            <w:vAlign w:val="center"/>
          </w:tcPr>
          <w:p w14:paraId="4171286A">
            <w:pPr>
              <w:spacing w:line="312" w:lineRule="auto"/>
              <w:jc w:val="center"/>
              <w:rPr>
                <w:b/>
                <w:color w:val="000000"/>
                <w:sz w:val="24"/>
                <w:szCs w:val="24"/>
              </w:rPr>
            </w:pPr>
            <w:r>
              <w:rPr>
                <w:rFonts w:hAnsi="宋体"/>
                <w:b/>
                <w:color w:val="000000"/>
                <w:sz w:val="24"/>
                <w:szCs w:val="24"/>
              </w:rPr>
              <w:t>开</w:t>
            </w:r>
            <w:r>
              <w:rPr>
                <w:b/>
                <w:color w:val="000000"/>
                <w:sz w:val="24"/>
                <w:szCs w:val="24"/>
              </w:rPr>
              <w:t xml:space="preserve"> </w:t>
            </w:r>
            <w:r>
              <w:rPr>
                <w:rFonts w:hAnsi="宋体"/>
                <w:b/>
                <w:color w:val="000000"/>
                <w:sz w:val="24"/>
                <w:szCs w:val="24"/>
              </w:rPr>
              <w:t>户</w:t>
            </w:r>
            <w:r>
              <w:rPr>
                <w:b/>
                <w:color w:val="000000"/>
                <w:sz w:val="24"/>
                <w:szCs w:val="24"/>
              </w:rPr>
              <w:t xml:space="preserve"> </w:t>
            </w:r>
            <w:r>
              <w:rPr>
                <w:rFonts w:hAnsi="宋体"/>
                <w:b/>
                <w:color w:val="000000"/>
                <w:sz w:val="24"/>
                <w:szCs w:val="24"/>
              </w:rPr>
              <w:t>名：</w:t>
            </w:r>
          </w:p>
        </w:tc>
        <w:tc>
          <w:tcPr>
            <w:tcW w:w="2160" w:type="dxa"/>
            <w:noWrap w:val="0"/>
            <w:vAlign w:val="center"/>
          </w:tcPr>
          <w:p w14:paraId="07CCE908">
            <w:pPr>
              <w:spacing w:line="312" w:lineRule="auto"/>
              <w:rPr>
                <w:color w:val="000000"/>
                <w:sz w:val="24"/>
                <w:szCs w:val="24"/>
              </w:rPr>
            </w:pPr>
          </w:p>
        </w:tc>
        <w:tc>
          <w:tcPr>
            <w:tcW w:w="1800" w:type="dxa"/>
            <w:noWrap w:val="0"/>
            <w:vAlign w:val="center"/>
          </w:tcPr>
          <w:p w14:paraId="648F2D82">
            <w:pPr>
              <w:spacing w:line="312" w:lineRule="auto"/>
              <w:jc w:val="center"/>
              <w:rPr>
                <w:b/>
                <w:color w:val="000000"/>
                <w:sz w:val="24"/>
                <w:szCs w:val="24"/>
              </w:rPr>
            </w:pPr>
            <w:r>
              <w:rPr>
                <w:rFonts w:hAnsi="宋体"/>
                <w:b/>
                <w:color w:val="000000"/>
                <w:sz w:val="24"/>
                <w:szCs w:val="24"/>
              </w:rPr>
              <w:t>开</w:t>
            </w:r>
            <w:r>
              <w:rPr>
                <w:b/>
                <w:color w:val="000000"/>
                <w:sz w:val="24"/>
                <w:szCs w:val="24"/>
              </w:rPr>
              <w:t xml:space="preserve"> </w:t>
            </w:r>
            <w:r>
              <w:rPr>
                <w:rFonts w:hAnsi="宋体"/>
                <w:b/>
                <w:color w:val="000000"/>
                <w:sz w:val="24"/>
                <w:szCs w:val="24"/>
              </w:rPr>
              <w:t>户</w:t>
            </w:r>
            <w:r>
              <w:rPr>
                <w:b/>
                <w:color w:val="000000"/>
                <w:sz w:val="24"/>
                <w:szCs w:val="24"/>
              </w:rPr>
              <w:t xml:space="preserve"> </w:t>
            </w:r>
            <w:r>
              <w:rPr>
                <w:rFonts w:hAnsi="宋体"/>
                <w:b/>
                <w:color w:val="000000"/>
                <w:sz w:val="24"/>
                <w:szCs w:val="24"/>
              </w:rPr>
              <w:t>名：</w:t>
            </w:r>
          </w:p>
        </w:tc>
        <w:tc>
          <w:tcPr>
            <w:tcW w:w="2760" w:type="dxa"/>
            <w:noWrap w:val="0"/>
            <w:vAlign w:val="center"/>
          </w:tcPr>
          <w:p w14:paraId="441ADFE4">
            <w:pPr>
              <w:spacing w:line="312" w:lineRule="auto"/>
              <w:rPr>
                <w:rFonts w:hAnsi="宋体"/>
                <w:color w:val="000000"/>
                <w:sz w:val="24"/>
                <w:szCs w:val="24"/>
              </w:rPr>
            </w:pPr>
          </w:p>
        </w:tc>
      </w:tr>
      <w:tr w14:paraId="594FC314">
        <w:tblPrEx>
          <w:tblCellMar>
            <w:top w:w="0" w:type="dxa"/>
            <w:left w:w="108" w:type="dxa"/>
            <w:bottom w:w="0" w:type="dxa"/>
            <w:right w:w="108" w:type="dxa"/>
          </w:tblCellMar>
        </w:tblPrEx>
        <w:trPr>
          <w:trHeight w:val="811" w:hRule="atLeast"/>
        </w:trPr>
        <w:tc>
          <w:tcPr>
            <w:tcW w:w="1968" w:type="dxa"/>
            <w:noWrap w:val="0"/>
            <w:vAlign w:val="center"/>
          </w:tcPr>
          <w:p w14:paraId="1903FD86">
            <w:pPr>
              <w:spacing w:line="312" w:lineRule="auto"/>
              <w:jc w:val="center"/>
              <w:rPr>
                <w:b/>
                <w:color w:val="000000"/>
                <w:sz w:val="24"/>
                <w:szCs w:val="24"/>
              </w:rPr>
            </w:pPr>
            <w:r>
              <w:rPr>
                <w:rFonts w:hAnsi="宋体"/>
                <w:b/>
                <w:color w:val="000000"/>
                <w:sz w:val="24"/>
                <w:szCs w:val="24"/>
              </w:rPr>
              <w:t>开户银行：</w:t>
            </w:r>
          </w:p>
        </w:tc>
        <w:tc>
          <w:tcPr>
            <w:tcW w:w="2160" w:type="dxa"/>
            <w:noWrap w:val="0"/>
            <w:vAlign w:val="center"/>
          </w:tcPr>
          <w:p w14:paraId="6DFD4A6A">
            <w:pPr>
              <w:spacing w:line="312" w:lineRule="auto"/>
              <w:rPr>
                <w:color w:val="000000"/>
                <w:sz w:val="24"/>
                <w:szCs w:val="24"/>
              </w:rPr>
            </w:pPr>
          </w:p>
        </w:tc>
        <w:tc>
          <w:tcPr>
            <w:tcW w:w="1800" w:type="dxa"/>
            <w:noWrap w:val="0"/>
            <w:vAlign w:val="center"/>
          </w:tcPr>
          <w:p w14:paraId="383E224A">
            <w:pPr>
              <w:spacing w:line="312" w:lineRule="auto"/>
              <w:jc w:val="center"/>
              <w:rPr>
                <w:b/>
                <w:color w:val="000000"/>
                <w:sz w:val="24"/>
                <w:szCs w:val="24"/>
              </w:rPr>
            </w:pPr>
            <w:r>
              <w:rPr>
                <w:rFonts w:hAnsi="宋体"/>
                <w:b/>
                <w:color w:val="000000"/>
                <w:sz w:val="24"/>
                <w:szCs w:val="24"/>
              </w:rPr>
              <w:t>开户银行：</w:t>
            </w:r>
          </w:p>
        </w:tc>
        <w:tc>
          <w:tcPr>
            <w:tcW w:w="2760" w:type="dxa"/>
            <w:noWrap w:val="0"/>
            <w:vAlign w:val="center"/>
          </w:tcPr>
          <w:p w14:paraId="1872C037">
            <w:pPr>
              <w:spacing w:line="312" w:lineRule="auto"/>
              <w:rPr>
                <w:rFonts w:hAnsi="宋体"/>
                <w:color w:val="000000"/>
                <w:sz w:val="24"/>
                <w:szCs w:val="24"/>
              </w:rPr>
            </w:pPr>
          </w:p>
        </w:tc>
      </w:tr>
      <w:tr w14:paraId="7290B79C">
        <w:tblPrEx>
          <w:tblCellMar>
            <w:top w:w="0" w:type="dxa"/>
            <w:left w:w="108" w:type="dxa"/>
            <w:bottom w:w="0" w:type="dxa"/>
            <w:right w:w="108" w:type="dxa"/>
          </w:tblCellMar>
        </w:tblPrEx>
        <w:trPr>
          <w:trHeight w:val="811" w:hRule="atLeast"/>
        </w:trPr>
        <w:tc>
          <w:tcPr>
            <w:tcW w:w="1968" w:type="dxa"/>
            <w:noWrap w:val="0"/>
            <w:vAlign w:val="center"/>
          </w:tcPr>
          <w:p w14:paraId="655F72BB">
            <w:pPr>
              <w:spacing w:line="312" w:lineRule="auto"/>
              <w:jc w:val="center"/>
              <w:rPr>
                <w:b/>
                <w:color w:val="000000"/>
                <w:sz w:val="24"/>
                <w:szCs w:val="24"/>
              </w:rPr>
            </w:pPr>
            <w:r>
              <w:rPr>
                <w:rFonts w:hAnsi="宋体"/>
                <w:b/>
                <w:color w:val="000000"/>
                <w:sz w:val="24"/>
                <w:szCs w:val="24"/>
              </w:rPr>
              <w:t>银行帐号：</w:t>
            </w:r>
          </w:p>
        </w:tc>
        <w:tc>
          <w:tcPr>
            <w:tcW w:w="2160" w:type="dxa"/>
            <w:noWrap w:val="0"/>
            <w:vAlign w:val="center"/>
          </w:tcPr>
          <w:p w14:paraId="50A91FB7">
            <w:pPr>
              <w:spacing w:line="312" w:lineRule="auto"/>
              <w:rPr>
                <w:color w:val="000000"/>
                <w:sz w:val="24"/>
                <w:szCs w:val="24"/>
              </w:rPr>
            </w:pPr>
          </w:p>
        </w:tc>
        <w:tc>
          <w:tcPr>
            <w:tcW w:w="1800" w:type="dxa"/>
            <w:noWrap w:val="0"/>
            <w:vAlign w:val="center"/>
          </w:tcPr>
          <w:p w14:paraId="63686E70">
            <w:pPr>
              <w:spacing w:line="312" w:lineRule="auto"/>
              <w:jc w:val="center"/>
              <w:rPr>
                <w:b/>
                <w:color w:val="000000"/>
                <w:sz w:val="24"/>
                <w:szCs w:val="24"/>
              </w:rPr>
            </w:pPr>
            <w:r>
              <w:rPr>
                <w:rFonts w:hAnsi="宋体"/>
                <w:b/>
                <w:color w:val="000000"/>
                <w:sz w:val="24"/>
                <w:szCs w:val="24"/>
              </w:rPr>
              <w:t>银行帐号：</w:t>
            </w:r>
          </w:p>
        </w:tc>
        <w:tc>
          <w:tcPr>
            <w:tcW w:w="2760" w:type="dxa"/>
            <w:noWrap w:val="0"/>
            <w:vAlign w:val="center"/>
          </w:tcPr>
          <w:p w14:paraId="7CC26F42">
            <w:pPr>
              <w:spacing w:line="312" w:lineRule="auto"/>
              <w:rPr>
                <w:rFonts w:hAnsi="宋体"/>
                <w:color w:val="000000"/>
                <w:sz w:val="24"/>
                <w:szCs w:val="24"/>
              </w:rPr>
            </w:pPr>
          </w:p>
        </w:tc>
      </w:tr>
      <w:tr w14:paraId="42589FA9">
        <w:trPr>
          <w:trHeight w:val="794" w:hRule="atLeast"/>
        </w:trPr>
        <w:tc>
          <w:tcPr>
            <w:tcW w:w="1968" w:type="dxa"/>
            <w:noWrap w:val="0"/>
            <w:vAlign w:val="center"/>
          </w:tcPr>
          <w:p w14:paraId="73B3EA9B">
            <w:pPr>
              <w:spacing w:line="312" w:lineRule="auto"/>
              <w:jc w:val="center"/>
              <w:rPr>
                <w:b/>
                <w:bCs w:val="0"/>
                <w:color w:val="000000"/>
                <w:sz w:val="24"/>
                <w:szCs w:val="24"/>
              </w:rPr>
            </w:pPr>
            <w:r>
              <w:rPr>
                <w:rFonts w:hAnsi="宋体"/>
                <w:b/>
                <w:bCs w:val="0"/>
                <w:color w:val="000000"/>
                <w:sz w:val="24"/>
                <w:szCs w:val="24"/>
              </w:rPr>
              <w:t>日</w:t>
            </w:r>
            <w:r>
              <w:rPr>
                <w:b/>
                <w:bCs w:val="0"/>
                <w:color w:val="000000"/>
                <w:sz w:val="24"/>
                <w:szCs w:val="24"/>
              </w:rPr>
              <w:t xml:space="preserve">    </w:t>
            </w:r>
            <w:r>
              <w:rPr>
                <w:rFonts w:hAnsi="宋体"/>
                <w:b/>
                <w:bCs w:val="0"/>
                <w:color w:val="000000"/>
                <w:sz w:val="24"/>
                <w:szCs w:val="24"/>
              </w:rPr>
              <w:t>期：</w:t>
            </w:r>
          </w:p>
        </w:tc>
        <w:tc>
          <w:tcPr>
            <w:tcW w:w="2160" w:type="dxa"/>
            <w:noWrap w:val="0"/>
            <w:vAlign w:val="center"/>
          </w:tcPr>
          <w:p w14:paraId="79C54C07">
            <w:pPr>
              <w:spacing w:line="312" w:lineRule="auto"/>
              <w:ind w:firstLine="241" w:firstLineChars="100"/>
              <w:rPr>
                <w:b/>
                <w:bCs w:val="0"/>
                <w:color w:val="000000"/>
                <w:sz w:val="24"/>
                <w:szCs w:val="24"/>
              </w:rPr>
            </w:pPr>
            <w:r>
              <w:rPr>
                <w:rFonts w:hAnsi="宋体"/>
                <w:b/>
                <w:bCs w:val="0"/>
                <w:color w:val="000000"/>
                <w:sz w:val="24"/>
                <w:szCs w:val="24"/>
              </w:rPr>
              <w:t>年</w:t>
            </w:r>
            <w:r>
              <w:rPr>
                <w:b/>
                <w:bCs w:val="0"/>
                <w:color w:val="000000"/>
                <w:sz w:val="24"/>
                <w:szCs w:val="24"/>
              </w:rPr>
              <w:t xml:space="preserve"> </w:t>
            </w:r>
            <w:r>
              <w:rPr>
                <w:rFonts w:hint="eastAsia"/>
                <w:b/>
                <w:bCs w:val="0"/>
                <w:color w:val="000000"/>
                <w:sz w:val="24"/>
                <w:szCs w:val="24"/>
              </w:rPr>
              <w:t xml:space="preserve"> </w:t>
            </w:r>
            <w:r>
              <w:rPr>
                <w:rFonts w:hAnsi="宋体"/>
                <w:b/>
                <w:bCs w:val="0"/>
                <w:color w:val="000000"/>
                <w:sz w:val="24"/>
                <w:szCs w:val="24"/>
              </w:rPr>
              <w:t>月</w:t>
            </w:r>
            <w:r>
              <w:rPr>
                <w:b/>
                <w:bCs w:val="0"/>
                <w:color w:val="000000"/>
                <w:sz w:val="24"/>
                <w:szCs w:val="24"/>
              </w:rPr>
              <w:t xml:space="preserve">   </w:t>
            </w:r>
            <w:r>
              <w:rPr>
                <w:rFonts w:hAnsi="宋体"/>
                <w:b/>
                <w:bCs w:val="0"/>
                <w:color w:val="000000"/>
                <w:sz w:val="24"/>
                <w:szCs w:val="24"/>
              </w:rPr>
              <w:t>日</w:t>
            </w:r>
          </w:p>
        </w:tc>
        <w:tc>
          <w:tcPr>
            <w:tcW w:w="1800" w:type="dxa"/>
            <w:noWrap w:val="0"/>
            <w:vAlign w:val="center"/>
          </w:tcPr>
          <w:p w14:paraId="14734215">
            <w:pPr>
              <w:spacing w:line="312" w:lineRule="auto"/>
              <w:jc w:val="center"/>
              <w:rPr>
                <w:b/>
                <w:bCs w:val="0"/>
                <w:color w:val="000000"/>
                <w:sz w:val="24"/>
                <w:szCs w:val="24"/>
              </w:rPr>
            </w:pPr>
            <w:r>
              <w:rPr>
                <w:rFonts w:hAnsi="宋体"/>
                <w:b/>
                <w:bCs w:val="0"/>
                <w:color w:val="000000"/>
                <w:sz w:val="24"/>
                <w:szCs w:val="24"/>
              </w:rPr>
              <w:t>日</w:t>
            </w:r>
            <w:r>
              <w:rPr>
                <w:b/>
                <w:bCs w:val="0"/>
                <w:color w:val="000000"/>
                <w:sz w:val="24"/>
                <w:szCs w:val="24"/>
              </w:rPr>
              <w:t xml:space="preserve">    </w:t>
            </w:r>
            <w:r>
              <w:rPr>
                <w:rFonts w:hAnsi="宋体"/>
                <w:b/>
                <w:bCs w:val="0"/>
                <w:color w:val="000000"/>
                <w:sz w:val="24"/>
                <w:szCs w:val="24"/>
              </w:rPr>
              <w:t>期：</w:t>
            </w:r>
          </w:p>
        </w:tc>
        <w:tc>
          <w:tcPr>
            <w:tcW w:w="2760" w:type="dxa"/>
            <w:noWrap w:val="0"/>
            <w:vAlign w:val="center"/>
          </w:tcPr>
          <w:p w14:paraId="301A0D3F">
            <w:pPr>
              <w:spacing w:line="312" w:lineRule="auto"/>
              <w:ind w:firstLine="482" w:firstLineChars="200"/>
              <w:rPr>
                <w:rFonts w:hAnsi="宋体"/>
                <w:b/>
                <w:bCs w:val="0"/>
                <w:color w:val="000000"/>
                <w:sz w:val="24"/>
                <w:szCs w:val="24"/>
              </w:rPr>
            </w:pPr>
            <w:r>
              <w:rPr>
                <w:rFonts w:hAnsi="宋体"/>
                <w:b/>
                <w:bCs w:val="0"/>
                <w:color w:val="000000"/>
                <w:sz w:val="24"/>
                <w:szCs w:val="24"/>
              </w:rPr>
              <w:t>年</w:t>
            </w:r>
            <w:r>
              <w:rPr>
                <w:rFonts w:hint="eastAsia" w:hAnsi="宋体"/>
                <w:b/>
                <w:bCs w:val="0"/>
                <w:color w:val="000000"/>
                <w:sz w:val="24"/>
                <w:szCs w:val="24"/>
              </w:rPr>
              <w:t xml:space="preserve">   </w:t>
            </w:r>
            <w:r>
              <w:rPr>
                <w:rFonts w:hAnsi="宋体"/>
                <w:b/>
                <w:bCs w:val="0"/>
                <w:color w:val="000000"/>
                <w:sz w:val="24"/>
                <w:szCs w:val="24"/>
              </w:rPr>
              <w:t>月</w:t>
            </w:r>
            <w:r>
              <w:rPr>
                <w:rFonts w:hint="eastAsia" w:hAnsi="宋体"/>
                <w:b/>
                <w:bCs w:val="0"/>
                <w:color w:val="000000"/>
                <w:sz w:val="24"/>
                <w:szCs w:val="24"/>
              </w:rPr>
              <w:t xml:space="preserve">   </w:t>
            </w:r>
            <w:r>
              <w:rPr>
                <w:rFonts w:hAnsi="宋体"/>
                <w:b/>
                <w:bCs w:val="0"/>
                <w:color w:val="000000"/>
                <w:sz w:val="24"/>
                <w:szCs w:val="24"/>
              </w:rPr>
              <w:t xml:space="preserve">  日</w:t>
            </w:r>
          </w:p>
        </w:tc>
      </w:tr>
    </w:tbl>
    <w:p w14:paraId="361D62A5">
      <w:pPr>
        <w:rPr>
          <w:color w:val="000000"/>
          <w:sz w:val="24"/>
          <w:szCs w:val="24"/>
        </w:rPr>
      </w:pPr>
    </w:p>
    <w:p w14:paraId="59340177">
      <w:pPr>
        <w:spacing w:line="440" w:lineRule="exact"/>
        <w:jc w:val="center"/>
        <w:rPr>
          <w:rFonts w:hint="eastAsia" w:ascii="宋体" w:hAnsi="宋体" w:cs="宋体"/>
          <w:b/>
          <w:bCs/>
          <w:color w:val="auto"/>
          <w:spacing w:val="20"/>
          <w:kern w:val="44"/>
          <w:sz w:val="32"/>
          <w:szCs w:val="32"/>
        </w:rPr>
      </w:pPr>
    </w:p>
    <w:p w14:paraId="7BFFCB6B">
      <w:pPr>
        <w:spacing w:line="440" w:lineRule="exact"/>
        <w:jc w:val="center"/>
        <w:rPr>
          <w:rFonts w:hint="eastAsia" w:ascii="宋体" w:hAnsi="宋体" w:cs="宋体"/>
          <w:b/>
          <w:bCs/>
          <w:color w:val="auto"/>
          <w:spacing w:val="20"/>
          <w:kern w:val="44"/>
          <w:sz w:val="32"/>
          <w:szCs w:val="32"/>
        </w:rPr>
      </w:pPr>
    </w:p>
    <w:p w14:paraId="4A631331">
      <w:pPr>
        <w:spacing w:line="440" w:lineRule="exact"/>
        <w:jc w:val="center"/>
        <w:rPr>
          <w:rFonts w:hint="eastAsia" w:ascii="宋体" w:hAnsi="宋体" w:cs="宋体"/>
          <w:b/>
          <w:bCs/>
          <w:color w:val="auto"/>
          <w:spacing w:val="20"/>
          <w:kern w:val="44"/>
          <w:sz w:val="32"/>
          <w:szCs w:val="32"/>
        </w:rPr>
      </w:pPr>
    </w:p>
    <w:p w14:paraId="45D96E15">
      <w:pPr>
        <w:spacing w:line="440" w:lineRule="exact"/>
        <w:jc w:val="center"/>
        <w:rPr>
          <w:rFonts w:hint="eastAsia" w:ascii="宋体" w:hAnsi="宋体" w:cs="宋体"/>
          <w:b/>
          <w:bCs/>
          <w:color w:val="auto"/>
          <w:spacing w:val="20"/>
          <w:kern w:val="44"/>
          <w:sz w:val="32"/>
          <w:szCs w:val="32"/>
        </w:rPr>
      </w:pPr>
    </w:p>
    <w:p w14:paraId="4911803B">
      <w:pPr>
        <w:spacing w:line="440" w:lineRule="exact"/>
        <w:jc w:val="center"/>
        <w:rPr>
          <w:rFonts w:hint="eastAsia" w:ascii="宋体" w:hAnsi="宋体" w:cs="宋体"/>
          <w:b/>
          <w:bCs/>
          <w:color w:val="auto"/>
          <w:spacing w:val="20"/>
          <w:kern w:val="44"/>
          <w:sz w:val="32"/>
          <w:szCs w:val="32"/>
        </w:rPr>
      </w:pPr>
    </w:p>
    <w:p w14:paraId="4512D7C6">
      <w:pPr>
        <w:spacing w:line="440" w:lineRule="exact"/>
        <w:jc w:val="center"/>
        <w:rPr>
          <w:rFonts w:hint="eastAsia" w:ascii="宋体" w:hAnsi="宋体" w:cs="宋体"/>
          <w:b/>
          <w:bCs/>
          <w:color w:val="auto"/>
          <w:spacing w:val="20"/>
          <w:kern w:val="44"/>
          <w:sz w:val="32"/>
          <w:szCs w:val="32"/>
        </w:rPr>
      </w:pPr>
    </w:p>
    <w:p w14:paraId="6711CF75">
      <w:pPr>
        <w:pStyle w:val="11"/>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注</w:t>
      </w:r>
      <w:r>
        <w:rPr>
          <w:rFonts w:hint="eastAsia" w:ascii="宋体" w:hAnsi="宋体" w:eastAsia="宋体" w:cs="宋体"/>
          <w:b/>
          <w:bCs/>
          <w:sz w:val="24"/>
          <w:szCs w:val="24"/>
          <w:lang w:val="en-US" w:eastAsia="zh-CN"/>
        </w:rPr>
        <w:t>：</w:t>
      </w:r>
      <w:r>
        <w:rPr>
          <w:rFonts w:hint="eastAsia" w:ascii="宋体" w:hAnsi="宋体" w:eastAsia="宋体" w:cs="宋体"/>
          <w:b/>
          <w:bCs/>
          <w:color w:val="000000"/>
          <w:sz w:val="24"/>
          <w:szCs w:val="24"/>
        </w:rPr>
        <w:t>此合同仅作为甲乙双方签订合同进行参考，成交供应商需根据实际情况和采购人 签订相应的合同，但不得与竞争性磋商文件、成交供应商的竞争性磋商响应文件及采购相 关法律法规相违背</w:t>
      </w:r>
      <w:r>
        <w:rPr>
          <w:rFonts w:hint="eastAsia" w:ascii="宋体" w:hAnsi="宋体" w:eastAsia="宋体" w:cs="宋体"/>
          <w:b/>
          <w:bCs/>
          <w:color w:val="000000"/>
          <w:sz w:val="24"/>
          <w:szCs w:val="24"/>
          <w:lang w:eastAsia="zh-CN"/>
        </w:rPr>
        <w:t>。</w:t>
      </w:r>
    </w:p>
    <w:p w14:paraId="61470C4A">
      <w:pPr>
        <w:spacing w:line="440" w:lineRule="exact"/>
        <w:jc w:val="center"/>
        <w:rPr>
          <w:rFonts w:hint="eastAsia" w:ascii="宋体" w:hAnsi="宋体" w:cs="宋体"/>
          <w:b/>
          <w:bCs/>
          <w:color w:val="auto"/>
          <w:spacing w:val="20"/>
          <w:kern w:val="44"/>
          <w:sz w:val="32"/>
          <w:szCs w:val="32"/>
        </w:rPr>
      </w:pPr>
    </w:p>
    <w:p w14:paraId="679EC04E">
      <w:pPr>
        <w:spacing w:line="440" w:lineRule="exact"/>
        <w:jc w:val="center"/>
        <w:rPr>
          <w:rFonts w:hint="eastAsia" w:ascii="宋体" w:hAnsi="宋体" w:cs="宋体"/>
          <w:b/>
          <w:bCs/>
          <w:color w:val="auto"/>
          <w:spacing w:val="20"/>
          <w:kern w:val="44"/>
          <w:sz w:val="32"/>
          <w:szCs w:val="32"/>
        </w:rPr>
      </w:pPr>
    </w:p>
    <w:p w14:paraId="76D86580">
      <w:pPr>
        <w:spacing w:line="440" w:lineRule="exact"/>
        <w:jc w:val="center"/>
        <w:rPr>
          <w:rFonts w:hint="eastAsia" w:ascii="宋体" w:hAnsi="宋体" w:cs="宋体"/>
          <w:b/>
          <w:bCs/>
          <w:color w:val="auto"/>
          <w:spacing w:val="20"/>
          <w:kern w:val="44"/>
          <w:sz w:val="32"/>
          <w:szCs w:val="32"/>
        </w:rPr>
      </w:pPr>
    </w:p>
    <w:p w14:paraId="4A4FA6C8">
      <w:pPr>
        <w:spacing w:line="440" w:lineRule="exact"/>
        <w:jc w:val="center"/>
        <w:rPr>
          <w:rFonts w:hint="eastAsia" w:ascii="宋体" w:hAnsi="宋体" w:cs="宋体"/>
          <w:b/>
          <w:bCs/>
          <w:color w:val="auto"/>
          <w:spacing w:val="20"/>
          <w:kern w:val="44"/>
          <w:sz w:val="32"/>
          <w:szCs w:val="32"/>
        </w:rPr>
      </w:pPr>
    </w:p>
    <w:p w14:paraId="7CBAF12F">
      <w:pPr>
        <w:spacing w:line="440" w:lineRule="exact"/>
        <w:jc w:val="center"/>
        <w:rPr>
          <w:rFonts w:hint="eastAsia" w:ascii="宋体" w:hAnsi="宋体" w:cs="宋体"/>
          <w:b/>
          <w:bCs/>
          <w:color w:val="auto"/>
          <w:spacing w:val="20"/>
          <w:kern w:val="44"/>
          <w:sz w:val="32"/>
          <w:szCs w:val="32"/>
        </w:rPr>
      </w:pPr>
    </w:p>
    <w:p w14:paraId="6095B648">
      <w:pPr>
        <w:spacing w:line="440" w:lineRule="exact"/>
        <w:jc w:val="center"/>
        <w:rPr>
          <w:rFonts w:hint="eastAsia" w:ascii="宋体" w:hAnsi="宋体" w:cs="宋体"/>
          <w:b/>
          <w:bCs/>
          <w:color w:val="auto"/>
          <w:spacing w:val="20"/>
          <w:kern w:val="44"/>
          <w:sz w:val="32"/>
          <w:szCs w:val="32"/>
        </w:rPr>
      </w:pPr>
    </w:p>
    <w:p w14:paraId="0EC2C918">
      <w:pPr>
        <w:spacing w:line="440" w:lineRule="exact"/>
        <w:jc w:val="center"/>
        <w:rPr>
          <w:rFonts w:hint="eastAsia" w:ascii="宋体" w:hAnsi="宋体" w:cs="宋体"/>
          <w:b/>
          <w:bCs/>
          <w:color w:val="auto"/>
          <w:spacing w:val="20"/>
          <w:kern w:val="44"/>
          <w:sz w:val="32"/>
          <w:szCs w:val="32"/>
        </w:rPr>
      </w:pPr>
    </w:p>
    <w:p w14:paraId="1B8C816F">
      <w:pPr>
        <w:spacing w:line="440" w:lineRule="exact"/>
        <w:jc w:val="center"/>
        <w:rPr>
          <w:rFonts w:hint="eastAsia" w:ascii="宋体" w:hAnsi="宋体" w:cs="宋体"/>
          <w:b/>
          <w:bCs/>
          <w:color w:val="auto"/>
          <w:spacing w:val="20"/>
          <w:kern w:val="44"/>
          <w:sz w:val="32"/>
          <w:szCs w:val="32"/>
        </w:rPr>
      </w:pPr>
    </w:p>
    <w:p w14:paraId="6E5CAE19">
      <w:pPr>
        <w:spacing w:line="440" w:lineRule="exact"/>
        <w:jc w:val="center"/>
        <w:rPr>
          <w:rFonts w:hint="eastAsia" w:ascii="宋体" w:hAnsi="宋体" w:cs="宋体"/>
          <w:b/>
          <w:bCs/>
          <w:color w:val="auto"/>
          <w:spacing w:val="20"/>
          <w:kern w:val="44"/>
          <w:sz w:val="32"/>
          <w:szCs w:val="32"/>
        </w:rPr>
      </w:pPr>
    </w:p>
    <w:p w14:paraId="44CD2AF4">
      <w:pPr>
        <w:spacing w:line="440" w:lineRule="exact"/>
        <w:jc w:val="center"/>
        <w:rPr>
          <w:rFonts w:hint="eastAsia" w:ascii="宋体" w:hAnsi="宋体" w:cs="宋体"/>
          <w:b/>
          <w:bCs/>
          <w:color w:val="auto"/>
          <w:spacing w:val="20"/>
          <w:kern w:val="44"/>
          <w:sz w:val="32"/>
          <w:szCs w:val="32"/>
        </w:rPr>
      </w:pPr>
    </w:p>
    <w:p w14:paraId="47BC3B54">
      <w:pPr>
        <w:spacing w:line="440" w:lineRule="exact"/>
        <w:jc w:val="center"/>
        <w:rPr>
          <w:rFonts w:hint="eastAsia" w:ascii="宋体" w:hAnsi="宋体" w:cs="宋体"/>
          <w:b/>
          <w:bCs/>
          <w:color w:val="auto"/>
          <w:spacing w:val="20"/>
          <w:kern w:val="44"/>
          <w:sz w:val="32"/>
          <w:szCs w:val="32"/>
        </w:rPr>
      </w:pPr>
    </w:p>
    <w:p w14:paraId="7CF3D358">
      <w:pPr>
        <w:spacing w:line="440" w:lineRule="exact"/>
        <w:jc w:val="center"/>
        <w:rPr>
          <w:rFonts w:hint="eastAsia" w:ascii="宋体" w:hAnsi="宋体" w:cs="宋体"/>
          <w:b/>
          <w:bCs/>
          <w:color w:val="auto"/>
          <w:spacing w:val="20"/>
          <w:kern w:val="44"/>
          <w:sz w:val="32"/>
          <w:szCs w:val="32"/>
        </w:rPr>
      </w:pPr>
    </w:p>
    <w:p w14:paraId="74F2508D">
      <w:pPr>
        <w:spacing w:line="440" w:lineRule="exact"/>
        <w:jc w:val="center"/>
        <w:rPr>
          <w:rFonts w:hint="eastAsia" w:ascii="宋体" w:hAnsi="宋体" w:cs="宋体"/>
          <w:b/>
          <w:bCs/>
          <w:color w:val="auto"/>
          <w:spacing w:val="20"/>
          <w:kern w:val="44"/>
          <w:sz w:val="32"/>
          <w:szCs w:val="32"/>
        </w:rPr>
      </w:pPr>
    </w:p>
    <w:p w14:paraId="7A4595F5">
      <w:pPr>
        <w:spacing w:line="440" w:lineRule="exact"/>
        <w:jc w:val="center"/>
        <w:rPr>
          <w:rFonts w:hint="eastAsia" w:ascii="宋体" w:hAnsi="宋体" w:cs="宋体"/>
          <w:b/>
          <w:bCs/>
          <w:color w:val="auto"/>
          <w:spacing w:val="20"/>
          <w:kern w:val="44"/>
          <w:sz w:val="32"/>
          <w:szCs w:val="32"/>
        </w:rPr>
      </w:pPr>
    </w:p>
    <w:p w14:paraId="50A31FE0">
      <w:pPr>
        <w:spacing w:line="440" w:lineRule="exact"/>
        <w:jc w:val="center"/>
        <w:rPr>
          <w:rFonts w:hint="eastAsia" w:ascii="宋体" w:hAnsi="宋体" w:cs="宋体"/>
          <w:b/>
          <w:bCs/>
          <w:color w:val="auto"/>
          <w:spacing w:val="20"/>
          <w:kern w:val="44"/>
          <w:sz w:val="32"/>
          <w:szCs w:val="32"/>
        </w:rPr>
      </w:pPr>
    </w:p>
    <w:p w14:paraId="5F953F8C">
      <w:pPr>
        <w:spacing w:line="440" w:lineRule="exact"/>
        <w:jc w:val="both"/>
        <w:rPr>
          <w:rFonts w:hint="eastAsia" w:ascii="宋体" w:hAnsi="宋体" w:cs="宋体"/>
          <w:b/>
          <w:bCs/>
          <w:color w:val="auto"/>
          <w:spacing w:val="20"/>
          <w:kern w:val="44"/>
          <w:sz w:val="32"/>
          <w:szCs w:val="32"/>
        </w:rPr>
      </w:pPr>
    </w:p>
    <w:p w14:paraId="3315B44D">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6F39A984">
      <w:pPr>
        <w:spacing w:line="440" w:lineRule="exact"/>
        <w:ind w:firstLine="562" w:firstLineChars="200"/>
        <w:jc w:val="center"/>
        <w:rPr>
          <w:rFonts w:ascii="宋体"/>
          <w:b/>
          <w:bCs/>
          <w:color w:val="auto"/>
          <w:spacing w:val="20"/>
          <w:kern w:val="44"/>
          <w:sz w:val="24"/>
          <w:szCs w:val="24"/>
        </w:rPr>
      </w:pP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5"/>
      <w:bookmarkEnd w:id="66"/>
      <w:bookmarkEnd w:id="67"/>
    </w:p>
    <w:p w14:paraId="3EF32201">
      <w:pPr>
        <w:numPr>
          <w:ilvl w:val="0"/>
          <w:numId w:val="1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丰信国际项目管理有限公司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17"/>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68" w:name="_Toc326251063"/>
      <w:r>
        <w:rPr>
          <w:rFonts w:hint="eastAsia" w:ascii="宋体" w:hAnsi="宋体" w:cs="宋体"/>
          <w:b/>
          <w:bCs/>
          <w:color w:val="auto"/>
          <w:sz w:val="24"/>
          <w:szCs w:val="24"/>
        </w:rPr>
        <w:t>二、响应文件格式及编排顺序</w:t>
      </w:r>
      <w:bookmarkEnd w:id="68"/>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AA063A1">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FX-AK-2026-03</w:t>
      </w: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3"/>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镇坪县永久基本农田调整补划方案编制技术服务项目</w:t>
      </w:r>
    </w:p>
    <w:p w14:paraId="2B3D5D14">
      <w:pPr>
        <w:spacing w:line="360" w:lineRule="auto"/>
        <w:jc w:val="center"/>
        <w:rPr>
          <w:rFonts w:hint="eastAsia" w:ascii="宋体" w:hAnsi="宋体" w:cs="宋体"/>
          <w:b/>
          <w:bCs/>
          <w:color w:val="auto"/>
          <w:sz w:val="44"/>
          <w:szCs w:val="44"/>
          <w:lang w:eastAsia="zh-CN"/>
        </w:rPr>
      </w:pPr>
    </w:p>
    <w:p w14:paraId="6B524019">
      <w:pPr>
        <w:pStyle w:val="43"/>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5C547643">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2E43B478">
      <w:pPr>
        <w:spacing w:line="440" w:lineRule="exact"/>
        <w:rPr>
          <w:rFonts w:ascii="宋体"/>
          <w:b/>
          <w:bCs/>
          <w:color w:val="auto"/>
          <w:spacing w:val="20"/>
          <w:sz w:val="24"/>
          <w:szCs w:val="24"/>
        </w:rPr>
      </w:pPr>
    </w:p>
    <w:p w14:paraId="55CF4FF8">
      <w:pPr>
        <w:spacing w:line="440" w:lineRule="exact"/>
        <w:rPr>
          <w:rFonts w:ascii="宋体" w:hAnsi="宋体"/>
          <w:b/>
          <w:sz w:val="24"/>
          <w:szCs w:val="24"/>
        </w:rPr>
      </w:pPr>
      <w:r>
        <w:rPr>
          <w:rFonts w:hint="eastAsia" w:ascii="宋体" w:hAnsi="宋体"/>
          <w:b/>
          <w:sz w:val="24"/>
          <w:szCs w:val="24"/>
        </w:rPr>
        <w:t>目录格式</w:t>
      </w:r>
    </w:p>
    <w:p w14:paraId="7447A447">
      <w:pPr>
        <w:spacing w:line="440" w:lineRule="exact"/>
        <w:ind w:firstLine="482" w:firstLineChars="200"/>
        <w:jc w:val="center"/>
        <w:rPr>
          <w:rFonts w:ascii="宋体" w:hAnsi="宋体"/>
          <w:b/>
          <w:sz w:val="24"/>
          <w:szCs w:val="24"/>
        </w:rPr>
      </w:pPr>
    </w:p>
    <w:p w14:paraId="2650EC4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5092CA22">
      <w:pPr>
        <w:pStyle w:val="11"/>
      </w:pPr>
    </w:p>
    <w:p w14:paraId="48901626">
      <w:pPr>
        <w:pStyle w:val="16"/>
        <w:numPr>
          <w:ilvl w:val="0"/>
          <w:numId w:val="18"/>
        </w:numPr>
        <w:spacing w:line="360" w:lineRule="auto"/>
        <w:ind w:left="0" w:leftChars="0" w:firstLineChars="0"/>
        <w:jc w:val="left"/>
        <w:rPr>
          <w:rFonts w:hint="eastAsia" w:hAnsi="宋体"/>
          <w:b/>
          <w:bCs/>
          <w:color w:val="auto"/>
          <w:sz w:val="24"/>
          <w:szCs w:val="24"/>
        </w:rPr>
      </w:pPr>
      <w:r>
        <w:rPr>
          <w:rFonts w:hint="eastAsia" w:hAnsi="宋体"/>
          <w:b/>
          <w:bCs/>
          <w:color w:val="auto"/>
          <w:sz w:val="24"/>
          <w:szCs w:val="24"/>
          <w:lang w:eastAsia="zh-CN"/>
        </w:rPr>
        <w:t>磋商</w:t>
      </w:r>
      <w:r>
        <w:rPr>
          <w:rFonts w:hint="eastAsia" w:hAnsi="宋体"/>
          <w:b/>
          <w:bCs/>
          <w:color w:val="auto"/>
          <w:sz w:val="24"/>
          <w:szCs w:val="24"/>
        </w:rPr>
        <w:t>响应函</w:t>
      </w:r>
    </w:p>
    <w:p w14:paraId="3F61817D">
      <w:pPr>
        <w:pStyle w:val="16"/>
        <w:numPr>
          <w:ilvl w:val="0"/>
          <w:numId w:val="18"/>
        </w:numPr>
        <w:spacing w:line="360" w:lineRule="auto"/>
        <w:ind w:left="0" w:leftChars="0" w:firstLineChars="0"/>
        <w:jc w:val="left"/>
        <w:rPr>
          <w:rFonts w:hint="eastAsia" w:hAnsi="宋体" w:cs="Times New Roman"/>
          <w:b/>
          <w:bCs/>
          <w:color w:val="auto"/>
          <w:sz w:val="24"/>
          <w:szCs w:val="24"/>
        </w:rPr>
      </w:pPr>
      <w:r>
        <w:rPr>
          <w:rFonts w:hint="eastAsia" w:hAnsi="宋体" w:cs="Times New Roman"/>
          <w:b/>
          <w:bCs/>
          <w:color w:val="auto"/>
          <w:sz w:val="24"/>
          <w:szCs w:val="24"/>
          <w:lang w:val="en-US" w:eastAsia="zh-CN"/>
        </w:rPr>
        <w:t>报价一览表</w:t>
      </w:r>
    </w:p>
    <w:p w14:paraId="4EE278EC">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资格证明文件</w:t>
      </w:r>
    </w:p>
    <w:p w14:paraId="7179E639">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ascii="宋体" w:hAnsi="宋体" w:cs="Times New Roman"/>
          <w:b/>
          <w:sz w:val="24"/>
          <w:szCs w:val="24"/>
        </w:rPr>
        <w:t>供应商的概况</w:t>
      </w:r>
    </w:p>
    <w:p w14:paraId="4C7F489F">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ascii="宋体" w:hAnsi="宋体" w:cs="Times New Roman"/>
          <w:b/>
          <w:sz w:val="24"/>
          <w:szCs w:val="24"/>
          <w:lang w:val="en-US" w:eastAsia="zh-CN"/>
        </w:rPr>
        <w:t>服务</w:t>
      </w:r>
      <w:r>
        <w:rPr>
          <w:rFonts w:hint="eastAsia" w:ascii="宋体" w:hAnsi="宋体" w:cs="Times New Roman"/>
          <w:b/>
          <w:sz w:val="24"/>
          <w:szCs w:val="24"/>
        </w:rPr>
        <w:t>实施方案</w:t>
      </w:r>
    </w:p>
    <w:p w14:paraId="32A4373B">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sz w:val="24"/>
          <w:szCs w:val="24"/>
          <w:lang w:val="en-US" w:eastAsia="zh-CN"/>
        </w:rPr>
        <w:t>人员配备</w:t>
      </w:r>
    </w:p>
    <w:p w14:paraId="49F6DB8D">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商务偏离表</w:t>
      </w:r>
    </w:p>
    <w:p w14:paraId="1AD83FFE">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企业业绩</w:t>
      </w:r>
    </w:p>
    <w:p w14:paraId="69C708C5">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供应商拒绝政府采购领域商业贿赂承诺书</w:t>
      </w:r>
    </w:p>
    <w:p w14:paraId="2C5E40F5">
      <w:pPr>
        <w:pStyle w:val="16"/>
        <w:numPr>
          <w:ilvl w:val="0"/>
          <w:numId w:val="18"/>
        </w:numPr>
        <w:spacing w:line="360" w:lineRule="auto"/>
        <w:ind w:left="0" w:leftChars="0" w:firstLineChars="0"/>
        <w:jc w:val="left"/>
        <w:rPr>
          <w:rFonts w:hint="eastAsia" w:hAnsi="宋体" w:cs="Times New Roman"/>
          <w:b/>
          <w:bCs/>
          <w:color w:val="auto"/>
          <w:sz w:val="24"/>
          <w:szCs w:val="24"/>
          <w:lang w:val="en-US" w:eastAsia="zh-CN"/>
        </w:rPr>
      </w:pPr>
      <w:r>
        <w:rPr>
          <w:rFonts w:hint="eastAsia" w:hAnsi="宋体" w:cs="Times New Roman"/>
          <w:b/>
          <w:bCs/>
          <w:color w:val="auto"/>
          <w:sz w:val="24"/>
          <w:szCs w:val="24"/>
          <w:lang w:val="en-US" w:eastAsia="zh-CN"/>
        </w:rPr>
        <w:t>投标人认为有必要提供的其它证明资料</w:t>
      </w:r>
    </w:p>
    <w:p w14:paraId="0BF160C4">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5"/>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11"/>
        <w:rPr>
          <w:rFonts w:ascii="宋体" w:hAnsi="宋体"/>
          <w:b/>
          <w:sz w:val="24"/>
          <w:szCs w:val="24"/>
        </w:rPr>
      </w:pPr>
    </w:p>
    <w:p w14:paraId="0C3764EB">
      <w:pPr>
        <w:pStyle w:val="11"/>
        <w:rPr>
          <w:rFonts w:ascii="宋体" w:hAnsi="宋体"/>
          <w:b/>
          <w:sz w:val="24"/>
          <w:szCs w:val="24"/>
        </w:rPr>
      </w:pPr>
    </w:p>
    <w:p w14:paraId="19F6205C">
      <w:pPr>
        <w:pStyle w:val="24"/>
        <w:rPr>
          <w:rFonts w:ascii="宋体" w:hAnsi="宋体"/>
          <w:b/>
          <w:sz w:val="24"/>
          <w:szCs w:val="24"/>
        </w:rPr>
      </w:pPr>
    </w:p>
    <w:p w14:paraId="6134BB34">
      <w:pPr>
        <w:rPr>
          <w:rFonts w:ascii="宋体" w:hAnsi="宋体"/>
          <w:b/>
          <w:sz w:val="24"/>
          <w:szCs w:val="24"/>
        </w:rPr>
      </w:pPr>
    </w:p>
    <w:p w14:paraId="1D104C90">
      <w:pPr>
        <w:pStyle w:val="15"/>
      </w:pPr>
    </w:p>
    <w:p w14:paraId="446660F1">
      <w:pPr>
        <w:pStyle w:val="11"/>
        <w:rPr>
          <w:rFonts w:ascii="宋体" w:hAnsi="宋体"/>
          <w:b/>
          <w:sz w:val="24"/>
          <w:szCs w:val="24"/>
        </w:rPr>
      </w:pPr>
    </w:p>
    <w:p w14:paraId="4C958FEB">
      <w:pPr>
        <w:pStyle w:val="24"/>
      </w:pPr>
    </w:p>
    <w:p w14:paraId="652ED7F6">
      <w:pPr>
        <w:pStyle w:val="11"/>
        <w:rPr>
          <w:rFonts w:ascii="宋体" w:hAnsi="宋体"/>
          <w:b/>
          <w:sz w:val="24"/>
          <w:szCs w:val="24"/>
        </w:rPr>
      </w:pPr>
    </w:p>
    <w:p w14:paraId="0E30588D">
      <w:pPr>
        <w:spacing w:line="440" w:lineRule="exact"/>
        <w:rPr>
          <w:rFonts w:ascii="宋体" w:hAnsi="宋体"/>
          <w:b/>
          <w:sz w:val="24"/>
          <w:szCs w:val="24"/>
        </w:rPr>
      </w:pPr>
    </w:p>
    <w:p w14:paraId="1A1AB3E2">
      <w:pPr>
        <w:pStyle w:val="10"/>
      </w:pPr>
    </w:p>
    <w:p w14:paraId="32C40242">
      <w:pPr>
        <w:pStyle w:val="11"/>
      </w:pPr>
    </w:p>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sz w:val="24"/>
          <w:szCs w:val="24"/>
        </w:rPr>
      </w:pPr>
      <w:r>
        <w:rPr>
          <w:rFonts w:hint="eastAsia" w:ascii="宋体" w:hAnsi="宋体"/>
          <w:sz w:val="24"/>
          <w:szCs w:val="24"/>
          <w:lang w:eastAsia="zh-CN"/>
        </w:rPr>
        <w:t>丰信国际项目管理有限公司</w:t>
      </w:r>
      <w:r>
        <w:rPr>
          <w:rFonts w:hint="eastAsia" w:ascii="宋体" w:hAnsi="宋体"/>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35C5DCA">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rPr>
        <w:t>8、与本磋商有关的一切正式往来信函请寄：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11"/>
        <w:ind w:left="0" w:leftChars="0" w:firstLine="0" w:firstLineChars="0"/>
        <w:rPr>
          <w:rFonts w:hint="eastAsia"/>
        </w:rPr>
      </w:pPr>
    </w:p>
    <w:p w14:paraId="27D13106">
      <w:pPr>
        <w:pStyle w:val="11"/>
        <w:ind w:left="0" w:leftChars="0" w:firstLine="0" w:firstLineChars="0"/>
        <w:rPr>
          <w:rFonts w:hint="eastAsia"/>
        </w:rPr>
      </w:pPr>
    </w:p>
    <w:p w14:paraId="6BDD12FE">
      <w:pPr>
        <w:pStyle w:val="11"/>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28FEBFAE">
      <w:pPr>
        <w:autoSpaceDE w:val="0"/>
        <w:autoSpaceDN w:val="0"/>
        <w:adjustRightInd w:val="0"/>
        <w:snapToGrid w:val="0"/>
        <w:spacing w:line="440" w:lineRule="exact"/>
        <w:jc w:val="center"/>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FX-AK-2026-03</w:t>
      </w:r>
    </w:p>
    <w:tbl>
      <w:tblPr>
        <w:tblStyle w:val="25"/>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4"/>
        <w:gridCol w:w="2091"/>
        <w:gridCol w:w="1812"/>
        <w:gridCol w:w="2049"/>
      </w:tblGrid>
      <w:tr w14:paraId="086D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04"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09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rPr>
              <w:t>磋商首次报价（元）</w:t>
            </w:r>
          </w:p>
        </w:tc>
        <w:tc>
          <w:tcPr>
            <w:tcW w:w="1812" w:type="dxa"/>
            <w:vAlign w:val="center"/>
          </w:tcPr>
          <w:p w14:paraId="57E9B2CE">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服务期限（天）</w:t>
            </w:r>
          </w:p>
        </w:tc>
        <w:tc>
          <w:tcPr>
            <w:tcW w:w="2049" w:type="dxa"/>
            <w:vAlign w:val="center"/>
          </w:tcPr>
          <w:p w14:paraId="2D5A8F4F">
            <w:pPr>
              <w:spacing w:line="440" w:lineRule="exact"/>
              <w:jc w:val="center"/>
              <w:rPr>
                <w:rFonts w:hint="default" w:ascii="宋体" w:hAnsi="宋体" w:eastAsia="宋体"/>
                <w:bCs/>
                <w:sz w:val="24"/>
                <w:szCs w:val="24"/>
                <w:lang w:val="en-US" w:eastAsia="zh-CN"/>
              </w:rPr>
            </w:pPr>
            <w:r>
              <w:rPr>
                <w:rFonts w:hint="eastAsia" w:hAnsi="宋体" w:cs="宋体"/>
                <w:color w:val="auto"/>
                <w:sz w:val="24"/>
                <w:szCs w:val="24"/>
                <w:lang w:val="en-US" w:eastAsia="zh-CN"/>
              </w:rPr>
              <w:t>质量标准</w:t>
            </w:r>
          </w:p>
        </w:tc>
      </w:tr>
      <w:tr w14:paraId="51C5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704"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镇坪县永久基本农田调整补划方案编制技术服务项目</w:t>
            </w:r>
          </w:p>
        </w:tc>
        <w:tc>
          <w:tcPr>
            <w:tcW w:w="209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1812" w:type="dxa"/>
            <w:vAlign w:val="center"/>
          </w:tcPr>
          <w:p w14:paraId="042B8020">
            <w:pPr>
              <w:spacing w:line="440" w:lineRule="exact"/>
              <w:jc w:val="center"/>
              <w:rPr>
                <w:rFonts w:ascii="宋体" w:hAnsi="宋体"/>
                <w:bCs/>
                <w:sz w:val="24"/>
                <w:szCs w:val="24"/>
              </w:rPr>
            </w:pPr>
          </w:p>
        </w:tc>
        <w:tc>
          <w:tcPr>
            <w:tcW w:w="2049" w:type="dxa"/>
            <w:vAlign w:val="center"/>
          </w:tcPr>
          <w:p w14:paraId="6D7156A5">
            <w:pPr>
              <w:spacing w:line="440" w:lineRule="exact"/>
              <w:jc w:val="center"/>
              <w:rPr>
                <w:rFonts w:ascii="宋体" w:hAnsi="宋体"/>
                <w:bCs/>
                <w:sz w:val="24"/>
                <w:szCs w:val="24"/>
              </w:rPr>
            </w:pPr>
          </w:p>
        </w:tc>
      </w:tr>
      <w:tr w14:paraId="581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704"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5952" w:type="dxa"/>
            <w:gridSpan w:val="3"/>
            <w:vAlign w:val="center"/>
          </w:tcPr>
          <w:p w14:paraId="78E329D3">
            <w:pPr>
              <w:spacing w:line="440" w:lineRule="exact"/>
              <w:rPr>
                <w:rFonts w:hint="eastAsia" w:ascii="宋体" w:hAnsi="宋体"/>
                <w:bCs/>
                <w:color w:val="FF0000"/>
                <w:sz w:val="24"/>
                <w:szCs w:val="24"/>
              </w:rPr>
            </w:pPr>
          </w:p>
        </w:tc>
      </w:tr>
    </w:tbl>
    <w:p w14:paraId="7FBAD4DF">
      <w:pPr>
        <w:pStyle w:val="8"/>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投标人</w:t>
      </w:r>
      <w:r>
        <w:rPr>
          <w:rFonts w:hint="eastAsia" w:ascii="宋体" w:hAnsi="宋体"/>
          <w:b/>
          <w:bCs/>
          <w:sz w:val="24"/>
          <w:szCs w:val="24"/>
        </w:rPr>
        <w:t>的投标单价报价不得超过采购预算</w:t>
      </w:r>
      <w:r>
        <w:rPr>
          <w:rFonts w:hint="eastAsia" w:ascii="宋体" w:hAnsi="宋体"/>
          <w:b/>
          <w:bCs/>
          <w:sz w:val="24"/>
          <w:szCs w:val="24"/>
          <w:lang w:val="en-US" w:eastAsia="zh-CN"/>
        </w:rPr>
        <w:t>和最高限价</w:t>
      </w:r>
      <w:r>
        <w:rPr>
          <w:rFonts w:hint="eastAsia" w:ascii="宋体" w:hAnsi="宋体"/>
          <w:b/>
          <w:bCs/>
          <w:sz w:val="24"/>
          <w:szCs w:val="24"/>
        </w:rPr>
        <w:t>，否则按无效文件处理。</w:t>
      </w:r>
    </w:p>
    <w:p w14:paraId="0362F7A0">
      <w:pPr>
        <w:spacing w:line="440" w:lineRule="exact"/>
        <w:ind w:firstLine="482" w:firstLineChars="200"/>
        <w:rPr>
          <w:rFonts w:ascii="宋体" w:hAnsi="宋体"/>
          <w:b/>
          <w:bCs/>
          <w:sz w:val="24"/>
          <w:szCs w:val="24"/>
        </w:rPr>
      </w:pPr>
      <w:r>
        <w:rPr>
          <w:rFonts w:hint="eastAsia" w:ascii="宋体" w:hAnsi="宋体"/>
          <w:b/>
          <w:bCs/>
          <w:sz w:val="24"/>
          <w:szCs w:val="24"/>
        </w:rPr>
        <w:t>2、本表应保证竞争性磋商响应文件的正、副本中仍有此表且一致。</w:t>
      </w:r>
    </w:p>
    <w:p w14:paraId="3F109D6E">
      <w:pPr>
        <w:spacing w:line="440" w:lineRule="exact"/>
        <w:ind w:firstLine="482" w:firstLineChars="200"/>
        <w:rPr>
          <w:rFonts w:ascii="宋体" w:hAnsi="宋体"/>
          <w:b/>
          <w:bCs/>
          <w:sz w:val="24"/>
          <w:szCs w:val="24"/>
        </w:rPr>
      </w:pPr>
      <w:r>
        <w:rPr>
          <w:rFonts w:ascii="宋体" w:hAnsi="宋体"/>
          <w:b/>
          <w:bCs/>
          <w:sz w:val="24"/>
          <w:szCs w:val="24"/>
        </w:rPr>
        <w:t>3</w:t>
      </w:r>
      <w:r>
        <w:rPr>
          <w:rFonts w:hint="eastAsia" w:ascii="宋体" w:hAnsi="宋体"/>
          <w:b/>
          <w:bCs/>
          <w:sz w:val="24"/>
          <w:szCs w:val="24"/>
        </w:rPr>
        <w:t>、报价精确到小数点后两位。</w:t>
      </w:r>
    </w:p>
    <w:p w14:paraId="5CCB5E77">
      <w:pPr>
        <w:pStyle w:val="8"/>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8"/>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8"/>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2A0402C5">
      <w:pPr>
        <w:pStyle w:val="8"/>
        <w:rPr>
          <w:rFonts w:hint="eastAsia" w:ascii="宋体" w:hAnsi="宋体"/>
          <w:b/>
          <w:sz w:val="24"/>
          <w:szCs w:val="24"/>
        </w:rPr>
      </w:pPr>
    </w:p>
    <w:p w14:paraId="493E3413">
      <w:pPr>
        <w:pStyle w:val="8"/>
        <w:rPr>
          <w:rFonts w:hint="eastAsia" w:ascii="宋体" w:hAnsi="宋体"/>
          <w:b/>
          <w:sz w:val="24"/>
          <w:szCs w:val="24"/>
        </w:rPr>
      </w:pPr>
    </w:p>
    <w:p w14:paraId="4FA4D1A1">
      <w:pPr>
        <w:spacing w:line="480" w:lineRule="exact"/>
        <w:ind w:right="-2"/>
        <w:jc w:val="both"/>
        <w:rPr>
          <w:rFonts w:hint="eastAsia" w:ascii="宋体" w:hAnsi="宋体"/>
          <w:b/>
          <w:sz w:val="24"/>
          <w:szCs w:val="24"/>
        </w:rPr>
      </w:pPr>
    </w:p>
    <w:p w14:paraId="693FFB32">
      <w:pPr>
        <w:pStyle w:val="8"/>
        <w:ind w:left="0" w:leftChars="0" w:firstLine="0" w:firstLineChars="0"/>
        <w:rPr>
          <w:rFonts w:hint="eastAsia" w:ascii="宋体" w:hAnsi="宋体" w:eastAsia="宋体"/>
          <w:b/>
          <w:sz w:val="24"/>
          <w:szCs w:val="24"/>
          <w:lang w:eastAsia="zh-CN"/>
        </w:rPr>
      </w:pPr>
      <w:r>
        <w:rPr>
          <w:rFonts w:hint="eastAsia" w:ascii="宋体" w:hAnsi="宋体"/>
          <w:b/>
          <w:sz w:val="24"/>
          <w:szCs w:val="24"/>
          <w:lang w:eastAsia="zh-CN"/>
        </w:rPr>
        <w:t>（</w:t>
      </w:r>
      <w:r>
        <w:rPr>
          <w:rFonts w:hint="eastAsia" w:ascii="宋体" w:hAnsi="宋体"/>
          <w:b/>
          <w:sz w:val="24"/>
          <w:szCs w:val="24"/>
          <w:lang w:val="en-US" w:eastAsia="zh-CN"/>
        </w:rPr>
        <w:t>二</w:t>
      </w:r>
      <w:r>
        <w:rPr>
          <w:rFonts w:hint="eastAsia" w:ascii="宋体" w:hAnsi="宋体"/>
          <w:b/>
          <w:sz w:val="24"/>
          <w:szCs w:val="24"/>
          <w:lang w:eastAsia="zh-CN"/>
        </w:rPr>
        <w:t>）</w:t>
      </w:r>
      <w:r>
        <w:rPr>
          <w:rFonts w:hint="eastAsia" w:ascii="宋体" w:hAnsi="宋体"/>
          <w:b/>
          <w:sz w:val="24"/>
          <w:szCs w:val="24"/>
          <w:lang w:val="en-US" w:eastAsia="zh-CN"/>
        </w:rPr>
        <w:t>磋商报价明细表</w:t>
      </w:r>
    </w:p>
    <w:p w14:paraId="2A896788">
      <w:pPr>
        <w:autoSpaceDE w:val="0"/>
        <w:autoSpaceDN w:val="0"/>
        <w:adjustRightInd w:val="0"/>
        <w:snapToGrid w:val="0"/>
        <w:spacing w:line="44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磋商报价</w:t>
      </w:r>
      <w:r>
        <w:rPr>
          <w:rFonts w:hint="eastAsia" w:ascii="宋体" w:hAnsi="宋体" w:eastAsia="宋体" w:cs="Times New Roman"/>
          <w:b/>
          <w:sz w:val="24"/>
          <w:szCs w:val="24"/>
          <w:lang w:eastAsia="zh-CN"/>
        </w:rPr>
        <w:t>明细</w:t>
      </w:r>
      <w:r>
        <w:rPr>
          <w:rFonts w:hint="eastAsia" w:ascii="宋体" w:hAnsi="宋体" w:eastAsia="宋体" w:cs="Times New Roman"/>
          <w:b/>
          <w:sz w:val="24"/>
          <w:szCs w:val="24"/>
        </w:rPr>
        <w:t>表</w:t>
      </w:r>
    </w:p>
    <w:p w14:paraId="68B308A0">
      <w:pPr>
        <w:autoSpaceDE w:val="0"/>
        <w:autoSpaceDN w:val="0"/>
        <w:adjustRightInd w:val="0"/>
        <w:snapToGrid w:val="0"/>
        <w:spacing w:line="440" w:lineRule="exact"/>
        <w:jc w:val="left"/>
        <w:rPr>
          <w:rFonts w:hint="eastAsia" w:ascii="宋体" w:hAnsi="宋体" w:cs="宋体"/>
          <w:szCs w:val="24"/>
          <w:lang w:val="en-US" w:eastAsia="zh-CN"/>
        </w:rPr>
      </w:pPr>
      <w:r>
        <w:rPr>
          <w:rFonts w:hint="eastAsia" w:ascii="宋体" w:hAnsi="宋体" w:eastAsia="宋体" w:cs="宋体"/>
          <w:bCs/>
          <w:sz w:val="24"/>
          <w:szCs w:val="24"/>
          <w:lang w:val="en-US" w:eastAsia="zh-CN"/>
        </w:rPr>
        <w:t>项目名称：</w:t>
      </w:r>
      <w:r>
        <w:rPr>
          <w:rFonts w:hint="eastAsia" w:ascii="宋体" w:hAnsi="宋体" w:cs="宋体"/>
          <w:szCs w:val="24"/>
          <w:lang w:val="en-US" w:eastAsia="zh-CN"/>
        </w:rPr>
        <w:t xml:space="preserve">                                         </w:t>
      </w:r>
      <w:r>
        <w:rPr>
          <w:rFonts w:hint="eastAsia" w:ascii="宋体" w:hAnsi="宋体" w:cs="宋体"/>
          <w:bCs/>
          <w:sz w:val="24"/>
          <w:szCs w:val="24"/>
        </w:rPr>
        <w:t>项目编号：</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898"/>
        <w:gridCol w:w="1681"/>
        <w:gridCol w:w="2273"/>
        <w:gridCol w:w="2637"/>
      </w:tblGrid>
      <w:tr w14:paraId="61A2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736" w:type="dxa"/>
            <w:vAlign w:val="center"/>
          </w:tcPr>
          <w:p w14:paraId="6FEEC22B">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序号</w:t>
            </w:r>
          </w:p>
        </w:tc>
        <w:tc>
          <w:tcPr>
            <w:tcW w:w="1898" w:type="dxa"/>
            <w:vAlign w:val="center"/>
          </w:tcPr>
          <w:p w14:paraId="45EB18B7">
            <w:pPr>
              <w:keepNext w:val="0"/>
              <w:keepLines w:val="0"/>
              <w:widowControl/>
              <w:suppressLineNumbers w:val="0"/>
              <w:jc w:val="center"/>
              <w:rPr>
                <w:rFonts w:hint="default" w:ascii="宋体" w:hAnsi="宋体" w:eastAsia="宋体" w:cs="宋体"/>
                <w:b/>
                <w:bCs/>
                <w:color w:val="000000"/>
                <w:kern w:val="0"/>
                <w:sz w:val="24"/>
                <w:szCs w:val="24"/>
                <w:vertAlign w:val="baseline"/>
                <w:lang w:val="en-US" w:eastAsia="zh-CN" w:bidi="ar"/>
              </w:rPr>
            </w:pPr>
            <w:r>
              <w:rPr>
                <w:rFonts w:hint="eastAsia" w:ascii="宋体" w:hAnsi="宋体" w:cs="宋体"/>
                <w:color w:val="000000"/>
                <w:kern w:val="0"/>
                <w:sz w:val="24"/>
                <w:szCs w:val="24"/>
                <w:lang w:val="en-US" w:eastAsia="zh-CN" w:bidi="ar"/>
              </w:rPr>
              <w:t>分项名称</w:t>
            </w:r>
          </w:p>
        </w:tc>
        <w:tc>
          <w:tcPr>
            <w:tcW w:w="1681" w:type="dxa"/>
            <w:vAlign w:val="center"/>
          </w:tcPr>
          <w:p w14:paraId="50A6BDFE">
            <w:pPr>
              <w:keepNext w:val="0"/>
              <w:keepLines w:val="0"/>
              <w:widowControl/>
              <w:suppressLineNumbers w:val="0"/>
              <w:jc w:val="left"/>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数量/单位</w:t>
            </w:r>
          </w:p>
        </w:tc>
        <w:tc>
          <w:tcPr>
            <w:tcW w:w="2273" w:type="dxa"/>
            <w:vAlign w:val="center"/>
          </w:tcPr>
          <w:p w14:paraId="58D940AD">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单价（元）</w:t>
            </w:r>
          </w:p>
        </w:tc>
        <w:tc>
          <w:tcPr>
            <w:tcW w:w="2637" w:type="dxa"/>
            <w:vAlign w:val="center"/>
          </w:tcPr>
          <w:p w14:paraId="2770B730">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小计（元）</w:t>
            </w:r>
          </w:p>
        </w:tc>
      </w:tr>
      <w:tr w14:paraId="0FFC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1E294CB2">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29B38ADF">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271C265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6B4FB1D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7D065EF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331A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51CF7C5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1BF62040">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362FF1D1">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65F6434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45E53A99">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122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392C082B">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292B604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56F4EDC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31F5E1B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02027EC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773F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311CBE79">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451A5D2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57672F4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4BE7DC2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5A24E70E">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27AE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1CC3EDAF">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353145A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57D2944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32A1E23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262FB77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787B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26CCB866">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11DBB6A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54B96604">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42988133">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08C013D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475F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33AE630A">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2B7B6B68">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79E3EE7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1226315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546C7B2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3F77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6ECAC785">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47549447">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108CA0C7">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2E7EC18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0987303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F01D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71D3833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5587E0E2">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382770E9">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1BDD1DE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3F7BF8F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0255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33A6BE79">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6A6ED8B5">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6F06339E">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1A6821C3">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752BC65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036B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08EF7176">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1CA24BE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3ABDE25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3ABB32A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0B693F6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42E5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736" w:type="dxa"/>
            <w:vAlign w:val="center"/>
          </w:tcPr>
          <w:p w14:paraId="4ACD6E19">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898" w:type="dxa"/>
            <w:vAlign w:val="center"/>
          </w:tcPr>
          <w:p w14:paraId="7BF8B4E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81" w:type="dxa"/>
            <w:vAlign w:val="center"/>
          </w:tcPr>
          <w:p w14:paraId="7186706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273" w:type="dxa"/>
            <w:vAlign w:val="center"/>
          </w:tcPr>
          <w:p w14:paraId="286836B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2637" w:type="dxa"/>
            <w:vAlign w:val="center"/>
          </w:tcPr>
          <w:p w14:paraId="7D0F2E13">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bl>
    <w:p w14:paraId="5B55AA5C">
      <w:pPr>
        <w:autoSpaceDE w:val="0"/>
        <w:autoSpaceDN w:val="0"/>
        <w:adjustRightInd w:val="0"/>
        <w:snapToGrid w:val="0"/>
        <w:spacing w:line="440" w:lineRule="exact"/>
        <w:jc w:val="center"/>
        <w:rPr>
          <w:rFonts w:hint="eastAsia" w:ascii="宋体" w:hAnsi="宋体" w:cs="宋体"/>
          <w:szCs w:val="24"/>
          <w:u w:val="single"/>
        </w:rPr>
      </w:pPr>
      <w:r>
        <w:rPr>
          <w:rFonts w:hint="eastAsia" w:ascii="宋体" w:hAnsi="宋体" w:cs="宋体"/>
          <w:szCs w:val="24"/>
          <w:lang w:val="en-US" w:eastAsia="zh-CN"/>
        </w:rPr>
        <w:t xml:space="preserve">                                         </w:t>
      </w:r>
    </w:p>
    <w:p w14:paraId="27055EAE">
      <w:pPr>
        <w:spacing w:line="300" w:lineRule="exact"/>
        <w:rPr>
          <w:rFonts w:hint="eastAsia" w:ascii="宋体" w:hAnsi="宋体" w:cs="宋体"/>
          <w:i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注：1.</w:t>
      </w:r>
      <w:r>
        <w:rPr>
          <w:rFonts w:hint="eastAsia" w:ascii="宋体" w:hAnsi="宋体" w:cs="宋体"/>
          <w:iCs/>
          <w:color w:val="000000" w:themeColor="text1"/>
          <w:sz w:val="24"/>
          <w:szCs w:val="24"/>
          <w14:textFill>
            <w14:solidFill>
              <w14:schemeClr w14:val="tx1"/>
            </w14:solidFill>
          </w14:textFill>
        </w:rPr>
        <w:t>注:本表应按“投标人须知”规定的要求填写。</w:t>
      </w:r>
    </w:p>
    <w:p w14:paraId="751EEB78">
      <w:pPr>
        <w:spacing w:line="300" w:lineRule="exact"/>
        <w:ind w:firstLine="480" w:firstLineChars="200"/>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2.如果按单价计算的结果与总价不一致，以单价为准修正总价。</w:t>
      </w:r>
    </w:p>
    <w:p w14:paraId="659CD8AA">
      <w:pPr>
        <w:spacing w:line="3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3.如果不提供详细分项报价将视为没有实质性响应</w:t>
      </w:r>
      <w:r>
        <w:rPr>
          <w:rFonts w:hint="eastAsia" w:ascii="宋体" w:hAnsi="宋体" w:cs="宋体"/>
          <w:color w:val="000000" w:themeColor="text1"/>
          <w:sz w:val="24"/>
          <w:szCs w:val="24"/>
          <w:lang w:val="en-US" w:eastAsia="zh-CN"/>
          <w14:textFill>
            <w14:solidFill>
              <w14:schemeClr w14:val="tx1"/>
            </w14:solidFill>
          </w14:textFill>
        </w:rPr>
        <w:t>竞争性磋商</w:t>
      </w:r>
      <w:r>
        <w:rPr>
          <w:rFonts w:hint="eastAsia" w:ascii="宋体" w:hAnsi="宋体" w:cs="宋体"/>
          <w:color w:val="000000" w:themeColor="text1"/>
          <w:sz w:val="24"/>
          <w:szCs w:val="24"/>
          <w14:textFill>
            <w14:solidFill>
              <w14:schemeClr w14:val="tx1"/>
            </w14:solidFill>
          </w14:textFill>
        </w:rPr>
        <w:t>文件。</w:t>
      </w:r>
    </w:p>
    <w:p w14:paraId="1B4BAC66">
      <w:pPr>
        <w:spacing w:line="3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 报价精确到小数点后两位。</w:t>
      </w:r>
    </w:p>
    <w:p w14:paraId="441B9C26">
      <w:pPr>
        <w:spacing w:line="300" w:lineRule="exact"/>
        <w:ind w:firstLine="480"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根据实际情况对具体附属服务项目进行说明。</w:t>
      </w:r>
    </w:p>
    <w:p w14:paraId="7BBAE207">
      <w:pPr>
        <w:spacing w:line="440" w:lineRule="exact"/>
        <w:ind w:firstLine="480" w:firstLineChars="200"/>
        <w:jc w:val="left"/>
        <w:rPr>
          <w:rFonts w:hint="eastAsia" w:ascii="宋体" w:hAnsi="宋体"/>
          <w:sz w:val="24"/>
          <w:szCs w:val="24"/>
          <w:lang w:eastAsia="zh-CN"/>
        </w:rPr>
      </w:pPr>
    </w:p>
    <w:p w14:paraId="082BCBEF">
      <w:pPr>
        <w:spacing w:line="440" w:lineRule="exact"/>
        <w:ind w:firstLine="480" w:firstLineChars="200"/>
        <w:jc w:val="left"/>
        <w:rPr>
          <w:rFonts w:hint="eastAsia" w:ascii="宋体" w:hAnsi="宋体"/>
          <w:sz w:val="24"/>
          <w:szCs w:val="24"/>
          <w:lang w:eastAsia="zh-CN"/>
        </w:rPr>
      </w:pPr>
    </w:p>
    <w:p w14:paraId="513AB936">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08840D1">
      <w:pPr>
        <w:spacing w:line="440" w:lineRule="exact"/>
        <w:ind w:firstLine="480" w:firstLineChars="200"/>
        <w:jc w:val="left"/>
        <w:rPr>
          <w:rFonts w:hint="eastAsia" w:ascii="宋体" w:hAnsi="宋体"/>
          <w:b/>
          <w:sz w:val="24"/>
          <w:szCs w:val="24"/>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r>
        <w:rPr>
          <w:rFonts w:hint="eastAsia" w:ascii="宋体" w:hAnsi="宋体" w:cs="宋体"/>
          <w:szCs w:val="24"/>
        </w:rPr>
        <w:t xml:space="preserve"> </w:t>
      </w:r>
    </w:p>
    <w:p w14:paraId="11137D5C">
      <w:pPr>
        <w:spacing w:line="440" w:lineRule="exact"/>
        <w:ind w:firstLine="4480"/>
        <w:jc w:val="right"/>
        <w:rPr>
          <w:rFonts w:hint="eastAsia" w:ascii="宋体" w:hAnsi="宋体"/>
          <w:sz w:val="24"/>
          <w:szCs w:val="24"/>
        </w:rPr>
      </w:pPr>
    </w:p>
    <w:p w14:paraId="42105E95">
      <w:pPr>
        <w:spacing w:line="440" w:lineRule="exact"/>
        <w:ind w:firstLine="4480"/>
        <w:jc w:val="right"/>
        <w:rPr>
          <w:rFonts w:hint="eastAsia"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21BB901">
      <w:pPr>
        <w:spacing w:line="440" w:lineRule="exact"/>
        <w:ind w:firstLine="482" w:firstLineChars="200"/>
        <w:jc w:val="center"/>
        <w:rPr>
          <w:rFonts w:hint="eastAsia" w:ascii="宋体" w:hAnsi="宋体"/>
          <w:b/>
          <w:sz w:val="24"/>
          <w:szCs w:val="24"/>
        </w:rPr>
      </w:pPr>
    </w:p>
    <w:p w14:paraId="6C0714AF">
      <w:pPr>
        <w:spacing w:line="440" w:lineRule="exact"/>
        <w:ind w:firstLine="482" w:firstLineChars="200"/>
        <w:jc w:val="center"/>
        <w:rPr>
          <w:rFonts w:hint="eastAsia" w:ascii="宋体" w:hAnsi="宋体"/>
          <w:b/>
          <w:sz w:val="24"/>
          <w:szCs w:val="24"/>
        </w:rPr>
      </w:pPr>
    </w:p>
    <w:p w14:paraId="46DB04B0">
      <w:pPr>
        <w:spacing w:line="440" w:lineRule="exact"/>
        <w:ind w:firstLine="482" w:firstLineChars="200"/>
        <w:jc w:val="center"/>
        <w:rPr>
          <w:rFonts w:hint="eastAsia" w:ascii="宋体" w:hAnsi="宋体"/>
          <w:b/>
          <w:sz w:val="24"/>
          <w:szCs w:val="24"/>
        </w:rPr>
      </w:pPr>
    </w:p>
    <w:p w14:paraId="243B73C8">
      <w:pPr>
        <w:spacing w:line="440" w:lineRule="exact"/>
        <w:ind w:firstLine="482" w:firstLineChars="200"/>
        <w:jc w:val="center"/>
        <w:rPr>
          <w:rFonts w:hint="eastAsia" w:ascii="宋体" w:hAnsi="宋体"/>
          <w:b/>
          <w:sz w:val="24"/>
          <w:szCs w:val="24"/>
        </w:rPr>
      </w:pPr>
    </w:p>
    <w:p w14:paraId="117A5090">
      <w:pPr>
        <w:spacing w:line="440" w:lineRule="exact"/>
        <w:ind w:firstLine="482" w:firstLineChars="200"/>
        <w:jc w:val="center"/>
        <w:rPr>
          <w:rFonts w:hint="eastAsia" w:ascii="宋体" w:hAnsi="宋体"/>
          <w:b/>
          <w:sz w:val="24"/>
          <w:szCs w:val="24"/>
        </w:rPr>
      </w:pPr>
    </w:p>
    <w:p w14:paraId="22DC4786">
      <w:pPr>
        <w:spacing w:line="440" w:lineRule="exact"/>
        <w:ind w:firstLine="482" w:firstLineChars="200"/>
        <w:jc w:val="center"/>
        <w:rPr>
          <w:rFonts w:hint="eastAsia" w:ascii="宋体" w:hAnsi="宋体"/>
          <w:b/>
          <w:sz w:val="24"/>
          <w:szCs w:val="24"/>
        </w:rPr>
      </w:pPr>
    </w:p>
    <w:p w14:paraId="2A88E462">
      <w:pPr>
        <w:spacing w:line="440" w:lineRule="exact"/>
        <w:ind w:firstLine="482" w:firstLineChars="200"/>
        <w:jc w:val="center"/>
        <w:rPr>
          <w:rFonts w:hint="eastAsia" w:ascii="宋体" w:hAnsi="宋体"/>
          <w:b/>
          <w:sz w:val="24"/>
          <w:szCs w:val="24"/>
        </w:rPr>
      </w:pPr>
    </w:p>
    <w:p w14:paraId="18529FA6">
      <w:pPr>
        <w:spacing w:line="440" w:lineRule="exact"/>
        <w:ind w:firstLine="482" w:firstLineChars="200"/>
        <w:jc w:val="center"/>
        <w:rPr>
          <w:rFonts w:hint="eastAsia" w:ascii="宋体" w:hAnsi="宋体"/>
          <w:b/>
          <w:sz w:val="24"/>
          <w:szCs w:val="24"/>
        </w:rPr>
      </w:pPr>
    </w:p>
    <w:p w14:paraId="78002739">
      <w:pPr>
        <w:spacing w:line="440" w:lineRule="exact"/>
        <w:ind w:firstLine="482" w:firstLineChars="200"/>
        <w:jc w:val="center"/>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三、</w:t>
      </w:r>
      <w:r>
        <w:rPr>
          <w:rFonts w:hint="eastAsia" w:ascii="宋体" w:hAnsi="宋体"/>
          <w:b/>
          <w:sz w:val="24"/>
          <w:szCs w:val="24"/>
        </w:rPr>
        <w:t>资格证明文件</w:t>
      </w:r>
    </w:p>
    <w:p w14:paraId="44F166C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2E95075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（2）法定代表人授权书（附法定代表人身份证复印件）及被授权人身份证复印件（法定代表人直接参加投标只须提供法定代表人身份证复印件）；</w:t>
      </w:r>
    </w:p>
    <w:p w14:paraId="1686F61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或2025年度的财务审计报告（至少包括资产负债表、利润表和现金流量表，成立时间至提交磋商响应文件截止时间不足一年的可提供成立后任意时段的企业财务报表）；或其提供磋商响应文件递交截止时间前六个月内其基本账户开户银行出具的资信证明；</w:t>
      </w:r>
    </w:p>
    <w:p w14:paraId="07F121A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2025年1月1日至今任意一个月的纳税证明或完税证明（依法免税的单位应提供相关证明材料），投标单位提供2025年1月1日至今任意一个月的社会保障资金缴存单据或社保机构开具的社会保险参保缴费情况证明（依法不需要缴纳社会保障资金的单位应提供相关证明材料）；</w:t>
      </w:r>
    </w:p>
    <w:p w14:paraId="2585D36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（5）供应商须同时具有行政主管部门颁发的测绘乙级及以上(含乙级) 资质和土地规划乙级及以上(含乙级)资质；</w:t>
      </w:r>
    </w:p>
    <w:p w14:paraId="76DA4A8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226A3D4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6A80A05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4BEE270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p w14:paraId="51CF4AF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4E45FF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918D06">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2B8957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5A4E8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DD70E7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F991C9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4876C3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3022DF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3EFE38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DE74AC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9210F7">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9BE94F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5DEDBA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B318D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08501B9E">
      <w:pPr>
        <w:rPr>
          <w:rFonts w:ascii="宋体" w:hAnsi="宋体" w:cs="宋体"/>
          <w:b/>
          <w:szCs w:val="24"/>
        </w:rPr>
      </w:pPr>
      <w:r>
        <w:rPr>
          <w:rFonts w:hint="eastAsia" w:ascii="宋体" w:hAnsi="宋体"/>
          <w:sz w:val="24"/>
          <w:szCs w:val="24"/>
          <w:lang w:val="en-US" w:eastAsia="zh-CN"/>
        </w:rPr>
        <w:t>1、</w:t>
      </w:r>
      <w:r>
        <w:rPr>
          <w:rFonts w:hint="eastAsia" w:ascii="宋体" w:hAnsi="宋体" w:cs="宋体"/>
          <w:b/>
          <w:szCs w:val="24"/>
        </w:rPr>
        <w:t>法定代表人身份证明</w:t>
      </w:r>
    </w:p>
    <w:p w14:paraId="422B92C3">
      <w:pPr>
        <w:spacing w:after="120" w:afterLines="50" w:line="440" w:lineRule="exact"/>
        <w:ind w:firstLine="437"/>
        <w:rPr>
          <w:rFonts w:ascii="宋体" w:hAnsi="宋体"/>
          <w:szCs w:val="24"/>
        </w:rPr>
      </w:pPr>
    </w:p>
    <w:p w14:paraId="09D0B57C">
      <w:pPr>
        <w:spacing w:after="120" w:afterLines="50" w:line="440" w:lineRule="exact"/>
        <w:ind w:firstLine="437"/>
        <w:rPr>
          <w:rFonts w:ascii="宋体" w:hAnsi="宋体"/>
          <w:szCs w:val="24"/>
        </w:rPr>
      </w:pPr>
    </w:p>
    <w:p w14:paraId="69576C64">
      <w:pPr>
        <w:spacing w:after="120" w:afterLines="50" w:line="440" w:lineRule="exact"/>
        <w:ind w:firstLine="437"/>
        <w:rPr>
          <w:rFonts w:ascii="宋体" w:hAnsi="宋体"/>
          <w:szCs w:val="24"/>
        </w:rPr>
      </w:pPr>
    </w:p>
    <w:p w14:paraId="661C28AE">
      <w:pPr>
        <w:spacing w:after="120" w:afterLines="50" w:line="440" w:lineRule="exact"/>
        <w:ind w:firstLine="437"/>
        <w:rPr>
          <w:rFonts w:ascii="宋体" w:hAnsi="宋体"/>
          <w:szCs w:val="24"/>
        </w:rPr>
      </w:pPr>
    </w:p>
    <w:p w14:paraId="54600DAE">
      <w:pPr>
        <w:spacing w:after="120" w:afterLines="50" w:line="440" w:lineRule="exact"/>
        <w:ind w:firstLine="437"/>
        <w:rPr>
          <w:rFonts w:ascii="宋体" w:hAnsi="宋体"/>
          <w:szCs w:val="24"/>
        </w:rPr>
      </w:pPr>
      <w:r>
        <w:rPr>
          <w:rFonts w:hint="eastAsia" w:ascii="宋体" w:hAnsi="宋体"/>
          <w:szCs w:val="24"/>
        </w:rPr>
        <w:t xml:space="preserve">单位名称：                          </w:t>
      </w:r>
    </w:p>
    <w:p w14:paraId="260C596C">
      <w:pPr>
        <w:spacing w:after="120" w:afterLines="50" w:line="440" w:lineRule="exact"/>
        <w:ind w:firstLine="437"/>
        <w:rPr>
          <w:rFonts w:ascii="宋体" w:hAnsi="宋体"/>
          <w:szCs w:val="24"/>
        </w:rPr>
      </w:pPr>
      <w:r>
        <w:rPr>
          <w:rFonts w:hint="eastAsia" w:ascii="宋体" w:hAnsi="宋体"/>
          <w:szCs w:val="24"/>
        </w:rPr>
        <w:t xml:space="preserve">单位性质：                            </w:t>
      </w:r>
    </w:p>
    <w:p w14:paraId="5E7AC987">
      <w:pPr>
        <w:spacing w:after="120" w:afterLines="50" w:line="440" w:lineRule="exact"/>
        <w:ind w:firstLine="437"/>
        <w:rPr>
          <w:rFonts w:ascii="宋体" w:hAnsi="宋体"/>
          <w:szCs w:val="24"/>
        </w:rPr>
      </w:pPr>
      <w:r>
        <w:rPr>
          <w:rFonts w:hint="eastAsia" w:ascii="宋体" w:hAnsi="宋体"/>
          <w:szCs w:val="24"/>
        </w:rPr>
        <w:t>成立时间：年月日</w:t>
      </w:r>
    </w:p>
    <w:p w14:paraId="36A9AF35">
      <w:pPr>
        <w:spacing w:after="120" w:afterLines="50" w:line="440" w:lineRule="exact"/>
        <w:ind w:firstLine="437"/>
        <w:rPr>
          <w:rFonts w:ascii="宋体" w:hAnsi="宋体"/>
          <w:szCs w:val="24"/>
        </w:rPr>
      </w:pPr>
      <w:r>
        <w:rPr>
          <w:rFonts w:hint="eastAsia" w:ascii="宋体" w:hAnsi="宋体"/>
          <w:szCs w:val="24"/>
        </w:rPr>
        <w:t xml:space="preserve">经营期限：                                </w:t>
      </w:r>
    </w:p>
    <w:p w14:paraId="0AAAA033">
      <w:pPr>
        <w:spacing w:after="120" w:afterLines="50" w:line="440" w:lineRule="exact"/>
        <w:ind w:firstLine="437"/>
        <w:rPr>
          <w:rFonts w:ascii="宋体" w:hAnsi="宋体"/>
          <w:szCs w:val="24"/>
          <w:u w:val="single"/>
        </w:rPr>
      </w:pPr>
      <w:r>
        <w:rPr>
          <w:rFonts w:hint="eastAsia" w:ascii="宋体" w:hAnsi="宋体"/>
          <w:szCs w:val="24"/>
        </w:rPr>
        <w:t>姓名：性别：  年龄：职务：</w:t>
      </w:r>
    </w:p>
    <w:p w14:paraId="565F3C11">
      <w:pPr>
        <w:spacing w:after="120" w:afterLines="50" w:line="440" w:lineRule="exact"/>
        <w:ind w:firstLine="437"/>
        <w:rPr>
          <w:rFonts w:ascii="宋体" w:hAnsi="宋体"/>
          <w:szCs w:val="24"/>
        </w:rPr>
      </w:pPr>
      <w:r>
        <w:rPr>
          <w:rFonts w:hint="eastAsia" w:ascii="宋体" w:hAnsi="宋体"/>
          <w:szCs w:val="24"/>
        </w:rPr>
        <w:t>系 （投标人名称）的法定代表人。</w:t>
      </w:r>
    </w:p>
    <w:p w14:paraId="6D0BAF9A">
      <w:pPr>
        <w:spacing w:after="120" w:afterLines="50" w:line="440" w:lineRule="exact"/>
        <w:ind w:firstLine="437"/>
        <w:rPr>
          <w:rFonts w:ascii="宋体" w:hAnsi="宋体"/>
          <w:szCs w:val="24"/>
        </w:rPr>
      </w:pPr>
      <w:r>
        <w:rPr>
          <w:rFonts w:hint="eastAsia" w:ascii="宋体" w:hAnsi="宋体"/>
          <w:szCs w:val="24"/>
        </w:rPr>
        <w:t>特此证明。</w:t>
      </w:r>
    </w:p>
    <w:p w14:paraId="4BF5CC4B">
      <w:pPr>
        <w:spacing w:after="120" w:afterLines="50" w:line="440" w:lineRule="exact"/>
        <w:ind w:firstLine="437"/>
        <w:rPr>
          <w:rFonts w:ascii="宋体" w:hAnsi="宋体"/>
          <w:szCs w:val="24"/>
        </w:rPr>
      </w:pPr>
    </w:p>
    <w:p w14:paraId="73F8A9ED">
      <w:pPr>
        <w:spacing w:after="120" w:afterLines="50" w:line="440" w:lineRule="exact"/>
        <w:ind w:firstLine="437"/>
        <w:rPr>
          <w:rFonts w:ascii="宋体" w:hAnsi="宋体"/>
          <w:szCs w:val="24"/>
        </w:rPr>
      </w:pPr>
    </w:p>
    <w:p w14:paraId="44258C52">
      <w:pPr>
        <w:spacing w:after="120" w:afterLines="50" w:line="440" w:lineRule="exact"/>
        <w:ind w:firstLine="437"/>
        <w:rPr>
          <w:rFonts w:ascii="宋体" w:hAnsi="宋体"/>
          <w:szCs w:val="24"/>
        </w:rPr>
      </w:pPr>
      <w:r>
        <w:rPr>
          <w:rFonts w:hint="eastAsia" w:ascii="宋体" w:hAnsi="宋体"/>
          <w:szCs w:val="24"/>
        </w:rPr>
        <w:t xml:space="preserve">                          投标人：           （盖单位章）</w:t>
      </w:r>
    </w:p>
    <w:p w14:paraId="50813975">
      <w:pPr>
        <w:spacing w:after="120" w:afterLines="50" w:line="440" w:lineRule="exact"/>
        <w:ind w:firstLine="3318" w:firstLineChars="1580"/>
        <w:rPr>
          <w:rFonts w:ascii="宋体" w:hAnsi="宋体"/>
          <w:szCs w:val="24"/>
        </w:rPr>
      </w:pPr>
      <w:r>
        <w:rPr>
          <w:rFonts w:hint="eastAsia" w:ascii="宋体" w:hAnsi="宋体"/>
          <w:szCs w:val="24"/>
        </w:rPr>
        <w:t>年  月  日</w:t>
      </w:r>
    </w:p>
    <w:p w14:paraId="0048CA38">
      <w:pPr>
        <w:spacing w:after="120" w:afterLines="50" w:line="440" w:lineRule="exact"/>
        <w:rPr>
          <w:rFonts w:ascii="宋体" w:hAnsi="宋体"/>
          <w:b/>
          <w:kern w:val="0"/>
          <w:sz w:val="28"/>
          <w:szCs w:val="28"/>
        </w:rPr>
      </w:pPr>
    </w:p>
    <w:p w14:paraId="27B5EB3E">
      <w:pPr>
        <w:spacing w:after="120" w:afterLines="50" w:line="440" w:lineRule="exact"/>
        <w:rPr>
          <w:rFonts w:ascii="宋体" w:hAnsi="宋体"/>
          <w:b/>
          <w:kern w:val="0"/>
          <w:sz w:val="28"/>
          <w:szCs w:val="28"/>
        </w:rPr>
      </w:pPr>
      <w:bookmarkStart w:id="69" w:name="_Toc9683"/>
      <w:r>
        <w:rPr>
          <w:rFonts w:hint="eastAsia" w:ascii="宋体" w:hAnsi="宋体"/>
          <w:b/>
          <w:kern w:val="0"/>
          <w:sz w:val="28"/>
          <w:szCs w:val="28"/>
        </w:rPr>
        <w:t>（附法定代表人身份证复印件）</w:t>
      </w:r>
      <w:bookmarkEnd w:id="69"/>
    </w:p>
    <w:p w14:paraId="4997F9F1">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35D00747">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60E9F3F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2F117B8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16E6965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70D6454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437D37A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4F26A84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sz w:val="24"/>
          <w:szCs w:val="24"/>
          <w:lang w:val="en-US" w:eastAsia="zh-CN"/>
        </w:rPr>
        <w:t>2、</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F4E180A">
      <w:pPr>
        <w:pStyle w:val="15"/>
        <w:ind w:left="0" w:leftChars="0" w:firstLine="0" w:firstLineChars="0"/>
        <w:rPr>
          <w:rFonts w:hint="eastAsia" w:ascii="宋体" w:hAnsi="宋体"/>
          <w:sz w:val="24"/>
          <w:szCs w:val="24"/>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3、</w:t>
      </w:r>
      <w:r>
        <w:rPr>
          <w:rFonts w:hint="eastAsia" w:ascii="宋体" w:hAnsi="宋体"/>
          <w:b/>
          <w:sz w:val="24"/>
          <w:szCs w:val="24"/>
        </w:rPr>
        <w:t>参加本次招标活动</w:t>
      </w:r>
      <w:r>
        <w:rPr>
          <w:rFonts w:hint="eastAsia" w:ascii="宋体" w:hAnsi="宋体"/>
          <w:b/>
          <w:sz w:val="24"/>
          <w:szCs w:val="24"/>
          <w:lang w:val="en-US" w:eastAsia="zh-CN"/>
        </w:rPr>
        <w:t>前三年</w:t>
      </w:r>
      <w:r>
        <w:rPr>
          <w:rFonts w:hint="eastAsia" w:ascii="宋体" w:hAnsi="宋体"/>
          <w:b/>
          <w:sz w:val="24"/>
          <w:szCs w:val="24"/>
        </w:rPr>
        <w:t>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11"/>
        <w:rPr>
          <w:rFonts w:hint="eastAsia" w:ascii="宋体" w:hAnsi="宋体"/>
          <w:b/>
          <w:sz w:val="24"/>
          <w:szCs w:val="24"/>
        </w:rPr>
      </w:pPr>
    </w:p>
    <w:p w14:paraId="540F245C">
      <w:pPr>
        <w:pStyle w:val="11"/>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丰信国际项目管理有限公司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eastAsia="zh-CN"/>
        </w:rPr>
        <w:t>前3年</w:t>
      </w:r>
      <w:r>
        <w:rPr>
          <w:rFonts w:hint="eastAsia" w:ascii="宋体" w:hAnsi="宋体" w:cs="宋体"/>
          <w:sz w:val="24"/>
          <w:szCs w:val="24"/>
        </w:rPr>
        <w:t>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eastAsia="zh-CN"/>
        </w:rPr>
        <w:t>前3年</w:t>
      </w:r>
      <w:r>
        <w:rPr>
          <w:rFonts w:hint="eastAsia" w:ascii="宋体" w:hAnsi="宋体" w:cs="宋体"/>
          <w:sz w:val="24"/>
          <w:szCs w:val="24"/>
        </w:rPr>
        <w:t>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3"/>
      </w:pPr>
    </w:p>
    <w:p w14:paraId="6230A3A6">
      <w:pPr>
        <w:rPr>
          <w:rFonts w:hint="eastAsia" w:ascii="宋体" w:hAnsi="宋体"/>
          <w:sz w:val="24"/>
          <w:szCs w:val="24"/>
        </w:rPr>
      </w:pPr>
    </w:p>
    <w:p w14:paraId="561DB0DB">
      <w:pPr>
        <w:pStyle w:val="15"/>
        <w:rPr>
          <w:rFonts w:hint="eastAsia"/>
        </w:rPr>
      </w:pPr>
    </w:p>
    <w:p w14:paraId="2026424D">
      <w:pPr>
        <w:rPr>
          <w:rFonts w:hint="eastAsia"/>
        </w:rPr>
      </w:pPr>
    </w:p>
    <w:p w14:paraId="5C9C11D3">
      <w:pPr>
        <w:pStyle w:val="4"/>
        <w:rPr>
          <w:rFonts w:hint="eastAsia"/>
        </w:rPr>
      </w:pPr>
    </w:p>
    <w:p w14:paraId="446056C0">
      <w:pPr>
        <w:rPr>
          <w:rFonts w:hint="eastAsia"/>
        </w:rPr>
      </w:pPr>
    </w:p>
    <w:p w14:paraId="725F5F6C">
      <w:pPr>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4、</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val="en-US" w:eastAsia="zh-CN"/>
        </w:rPr>
        <w:t>丰信国际项目管理有限公司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11"/>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11"/>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11"/>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52770FCB">
      <w:pPr>
        <w:rPr>
          <w:rFonts w:hint="eastAsia"/>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5、中小企业声明函</w:t>
      </w:r>
    </w:p>
    <w:p w14:paraId="3D2FC1FB">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0" w:name="bookmark35"/>
      <w:bookmarkEnd w:id="70"/>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1" w:name="bookmark36"/>
      <w:bookmarkEnd w:id="71"/>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0"/>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0"/>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0"/>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0"/>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0"/>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0"/>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0"/>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0"/>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0"/>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10"/>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0"/>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0"/>
        <w:rPr>
          <w:rFonts w:hint="eastAsia"/>
        </w:rPr>
      </w:pPr>
    </w:p>
    <w:p w14:paraId="3253719E">
      <w:pPr>
        <w:rPr>
          <w:rFonts w:hint="eastAsia"/>
        </w:rPr>
      </w:pPr>
    </w:p>
    <w:p w14:paraId="1F4C57EB">
      <w:pPr>
        <w:pStyle w:val="10"/>
        <w:rPr>
          <w:rFonts w:hint="eastAsia"/>
        </w:rPr>
      </w:pPr>
    </w:p>
    <w:p w14:paraId="2B6085B2">
      <w:pPr>
        <w:snapToGrid w:val="0"/>
        <w:spacing w:line="440" w:lineRule="exact"/>
        <w:jc w:val="center"/>
        <w:rPr>
          <w:rFonts w:hint="default" w:ascii="宋体"/>
          <w:b/>
          <w:sz w:val="24"/>
          <w:szCs w:val="24"/>
          <w:lang w:val="en-US"/>
        </w:rPr>
      </w:pPr>
      <w:r>
        <w:rPr>
          <w:rFonts w:hint="eastAsia" w:hAnsi="宋体" w:cs="宋体"/>
          <w:b/>
          <w:color w:val="auto"/>
          <w:sz w:val="28"/>
          <w:szCs w:val="28"/>
          <w:lang w:val="en-US" w:eastAsia="zh-CN"/>
        </w:rPr>
        <w:t>四、</w:t>
      </w:r>
      <w:r>
        <w:rPr>
          <w:rFonts w:hint="eastAsia" w:ascii="宋体" w:hAnsi="宋体" w:eastAsia="宋体" w:cs="宋体"/>
          <w:b/>
          <w:bCs/>
          <w:color w:val="000000"/>
          <w:kern w:val="0"/>
          <w:sz w:val="24"/>
          <w:szCs w:val="24"/>
          <w:lang w:val="en-US" w:eastAsia="zh-CN" w:bidi="ar"/>
        </w:rPr>
        <w:t>供应商的概况</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1850"/>
        <w:gridCol w:w="2547"/>
        <w:gridCol w:w="2472"/>
      </w:tblGrid>
      <w:tr w14:paraId="5CF3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074" w:type="dxa"/>
            <w:vAlign w:val="center"/>
          </w:tcPr>
          <w:p w14:paraId="2558C297">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企业名称</w:t>
            </w:r>
          </w:p>
        </w:tc>
        <w:tc>
          <w:tcPr>
            <w:tcW w:w="6869" w:type="dxa"/>
            <w:gridSpan w:val="3"/>
            <w:vAlign w:val="center"/>
          </w:tcPr>
          <w:p w14:paraId="7AA0941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FBF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74" w:type="dxa"/>
            <w:vAlign w:val="center"/>
          </w:tcPr>
          <w:p w14:paraId="006ED8DF">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主要业务范围</w:t>
            </w:r>
          </w:p>
        </w:tc>
        <w:tc>
          <w:tcPr>
            <w:tcW w:w="6869" w:type="dxa"/>
            <w:gridSpan w:val="3"/>
            <w:vAlign w:val="center"/>
          </w:tcPr>
          <w:p w14:paraId="4A29BA7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05B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074" w:type="dxa"/>
            <w:vAlign w:val="center"/>
          </w:tcPr>
          <w:p w14:paraId="2C92CCCC">
            <w:pPr>
              <w:keepNext w:val="0"/>
              <w:keepLines w:val="0"/>
              <w:widowControl/>
              <w:suppressLineNumbers w:val="0"/>
              <w:jc w:val="left"/>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法定代表人名称</w:t>
            </w:r>
          </w:p>
        </w:tc>
        <w:tc>
          <w:tcPr>
            <w:tcW w:w="1850" w:type="dxa"/>
            <w:vAlign w:val="center"/>
          </w:tcPr>
          <w:p w14:paraId="21388DD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528B50DD">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职 务</w:t>
            </w:r>
          </w:p>
        </w:tc>
        <w:tc>
          <w:tcPr>
            <w:tcW w:w="2472" w:type="dxa"/>
            <w:vAlign w:val="center"/>
          </w:tcPr>
          <w:p w14:paraId="650D588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521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074" w:type="dxa"/>
            <w:vAlign w:val="center"/>
          </w:tcPr>
          <w:p w14:paraId="5124B45D">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投标人地址</w:t>
            </w:r>
          </w:p>
        </w:tc>
        <w:tc>
          <w:tcPr>
            <w:tcW w:w="1850" w:type="dxa"/>
            <w:vAlign w:val="center"/>
          </w:tcPr>
          <w:p w14:paraId="1A7EB71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625C360E">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企业邮编</w:t>
            </w:r>
          </w:p>
        </w:tc>
        <w:tc>
          <w:tcPr>
            <w:tcW w:w="2472" w:type="dxa"/>
            <w:vAlign w:val="center"/>
          </w:tcPr>
          <w:p w14:paraId="7ADB4A2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54A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074" w:type="dxa"/>
            <w:vAlign w:val="center"/>
          </w:tcPr>
          <w:p w14:paraId="41710A30">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电  话</w:t>
            </w:r>
          </w:p>
        </w:tc>
        <w:tc>
          <w:tcPr>
            <w:tcW w:w="1850" w:type="dxa"/>
            <w:vAlign w:val="center"/>
          </w:tcPr>
          <w:p w14:paraId="4B9E4E0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4B694933">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传  真</w:t>
            </w:r>
          </w:p>
        </w:tc>
        <w:tc>
          <w:tcPr>
            <w:tcW w:w="2472" w:type="dxa"/>
            <w:vAlign w:val="center"/>
          </w:tcPr>
          <w:p w14:paraId="636C06F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DE9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074" w:type="dxa"/>
            <w:vAlign w:val="center"/>
          </w:tcPr>
          <w:p w14:paraId="56CB77FF">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成立日期</w:t>
            </w:r>
          </w:p>
        </w:tc>
        <w:tc>
          <w:tcPr>
            <w:tcW w:w="1850" w:type="dxa"/>
            <w:vAlign w:val="center"/>
          </w:tcPr>
          <w:p w14:paraId="03F678B9">
            <w:pPr>
              <w:keepNext w:val="0"/>
              <w:keepLines w:val="0"/>
              <w:widowControl/>
              <w:suppressLineNumbers w:val="0"/>
              <w:jc w:val="center"/>
              <w:rPr>
                <w:rFonts w:hint="eastAsia" w:ascii="宋体" w:hAnsi="宋体" w:cs="宋体"/>
                <w:color w:val="000000"/>
                <w:kern w:val="0"/>
                <w:sz w:val="24"/>
                <w:szCs w:val="24"/>
                <w:lang w:val="en-US" w:eastAsia="zh-CN" w:bidi="ar"/>
              </w:rPr>
            </w:pPr>
          </w:p>
        </w:tc>
        <w:tc>
          <w:tcPr>
            <w:tcW w:w="2547" w:type="dxa"/>
            <w:vAlign w:val="center"/>
          </w:tcPr>
          <w:p w14:paraId="5E747FC8">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现有职 </w:t>
            </w:r>
          </w:p>
          <w:p w14:paraId="48A83CA1">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工人数</w:t>
            </w:r>
          </w:p>
        </w:tc>
        <w:tc>
          <w:tcPr>
            <w:tcW w:w="2472" w:type="dxa"/>
            <w:vAlign w:val="center"/>
          </w:tcPr>
          <w:p w14:paraId="5165285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DE0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2" w:hRule="atLeast"/>
        </w:trPr>
        <w:tc>
          <w:tcPr>
            <w:tcW w:w="8943" w:type="dxa"/>
            <w:gridSpan w:val="4"/>
            <w:vAlign w:val="center"/>
          </w:tcPr>
          <w:p w14:paraId="4AD8B5B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投标单位组织机构简介： </w:t>
            </w:r>
          </w:p>
          <w:p w14:paraId="75B2FEF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部室划分、各部室人数： </w:t>
            </w:r>
          </w:p>
          <w:p w14:paraId="7546C914">
            <w:pPr>
              <w:keepNext w:val="0"/>
              <w:keepLines w:val="0"/>
              <w:widowControl/>
              <w:suppressLineNumbers w:val="0"/>
              <w:jc w:val="left"/>
              <w:rPr>
                <w:rFonts w:hint="default"/>
                <w:lang w:val="en-US"/>
              </w:rPr>
            </w:pPr>
            <w:r>
              <w:rPr>
                <w:rFonts w:hint="eastAsia" w:ascii="宋体" w:hAnsi="宋体" w:eastAsia="宋体" w:cs="宋体"/>
                <w:color w:val="000000"/>
                <w:kern w:val="0"/>
                <w:sz w:val="24"/>
                <w:szCs w:val="24"/>
                <w:lang w:val="en-US" w:eastAsia="zh-CN" w:bidi="ar"/>
              </w:rPr>
              <w:t>技术人员总数：    人</w:t>
            </w:r>
          </w:p>
          <w:p w14:paraId="035CAB2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bl>
    <w:p w14:paraId="318B3746">
      <w:pPr>
        <w:keepNext w:val="0"/>
        <w:keepLines w:val="0"/>
        <w:widowControl/>
        <w:suppressLineNumbers w:val="0"/>
        <w:jc w:val="left"/>
      </w:pPr>
      <w:r>
        <w:rPr>
          <w:rFonts w:hint="eastAsia" w:ascii="宋体" w:hAnsi="宋体" w:eastAsia="宋体" w:cs="宋体"/>
          <w:color w:val="000000"/>
          <w:kern w:val="0"/>
          <w:sz w:val="24"/>
          <w:szCs w:val="24"/>
          <w:lang w:val="en-US" w:eastAsia="zh-CN" w:bidi="ar"/>
        </w:rPr>
        <w:t>供应商：</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（盖章） </w:t>
      </w:r>
    </w:p>
    <w:p w14:paraId="0C435143">
      <w:pPr>
        <w:keepNext w:val="0"/>
        <w:keepLines w:val="0"/>
        <w:widowControl/>
        <w:suppressLineNumbers w:val="0"/>
        <w:jc w:val="left"/>
      </w:pPr>
      <w:r>
        <w:rPr>
          <w:rFonts w:hint="eastAsia" w:ascii="宋体" w:hAnsi="宋体" w:eastAsia="宋体" w:cs="宋体"/>
          <w:color w:val="000000"/>
          <w:kern w:val="0"/>
          <w:sz w:val="24"/>
          <w:szCs w:val="24"/>
          <w:lang w:val="en-US" w:eastAsia="zh-CN" w:bidi="ar"/>
        </w:rPr>
        <w:t>法定代表人或被授权委托人签字：</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1A800BF9">
      <w:pPr>
        <w:keepNext w:val="0"/>
        <w:keepLines w:val="0"/>
        <w:widowControl/>
        <w:suppressLineNumbers w:val="0"/>
        <w:jc w:val="left"/>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21E7DAC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698D66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43E833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80F5BC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五、</w:t>
      </w:r>
      <w:r>
        <w:rPr>
          <w:rFonts w:hint="eastAsia" w:ascii="宋体" w:hAnsi="宋体" w:eastAsia="宋体" w:cs="宋体"/>
          <w:b/>
          <w:color w:val="auto"/>
          <w:sz w:val="28"/>
          <w:szCs w:val="28"/>
          <w:lang w:val="en-US" w:eastAsia="zh-CN"/>
        </w:rPr>
        <w:t>服务实施方案</w:t>
      </w:r>
    </w:p>
    <w:p w14:paraId="44C774C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0F007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9260A7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D9ED16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99DD76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50024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68FBE5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6B940A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C2D5AB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BD5946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20B8FB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A359FA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C75E2B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2AC195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B3A5A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5E48F9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923754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C2E281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3E891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17486B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53DEDE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F91017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08BFF3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E94BC6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4163C0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E9741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D7A8C5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68D968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DD750A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665DE2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091E75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8B241DE">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人员配备</w:t>
      </w:r>
    </w:p>
    <w:p w14:paraId="4FCA1F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CB168B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27BADC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6245BF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4B61EB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C537DC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61CAFB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494B1E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81A823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97E49C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462CB8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5A4704E">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96402C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11F6F7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75CB0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CD01F5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E152E3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30B3D3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A0A29D4">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732854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C728E7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48ED683">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7DE129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77542C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14EF07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94A55A6">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E8997B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559C4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32CF500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7CA2333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260972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8"/>
          <w:szCs w:val="28"/>
          <w:lang w:val="en-US" w:eastAsia="zh-CN"/>
        </w:rPr>
        <w:t>七、</w:t>
      </w:r>
      <w:r>
        <w:rPr>
          <w:rFonts w:hint="eastAsia" w:ascii="宋体" w:hAnsi="宋体" w:eastAsia="宋体" w:cs="宋体"/>
          <w:b/>
          <w:color w:val="auto"/>
          <w:sz w:val="28"/>
          <w:szCs w:val="28"/>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5"/>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10"/>
        <w:rPr>
          <w:rFonts w:hint="eastAsia"/>
        </w:rPr>
      </w:pPr>
    </w:p>
    <w:p w14:paraId="5950157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C897100">
      <w:pPr>
        <w:pStyle w:val="11"/>
      </w:pPr>
    </w:p>
    <w:p w14:paraId="58FB9968">
      <w:pPr>
        <w:pStyle w:val="11"/>
      </w:pPr>
    </w:p>
    <w:p w14:paraId="01615FC2">
      <w:pPr>
        <w:pStyle w:val="11"/>
      </w:pPr>
    </w:p>
    <w:p w14:paraId="34A6B2FB">
      <w:pPr>
        <w:pStyle w:val="11"/>
      </w:pPr>
    </w:p>
    <w:p w14:paraId="5892A6F7">
      <w:pPr>
        <w:pStyle w:val="11"/>
      </w:pPr>
    </w:p>
    <w:p w14:paraId="4D526F1F">
      <w:pPr>
        <w:pStyle w:val="11"/>
      </w:pPr>
    </w:p>
    <w:p w14:paraId="5403F954">
      <w:pPr>
        <w:pStyle w:val="11"/>
      </w:pPr>
    </w:p>
    <w:p w14:paraId="6F3335B6">
      <w:pPr>
        <w:pStyle w:val="11"/>
      </w:pPr>
    </w:p>
    <w:p w14:paraId="7AD5EA6C">
      <w:pPr>
        <w:pStyle w:val="11"/>
      </w:pPr>
    </w:p>
    <w:p w14:paraId="493C665A">
      <w:pPr>
        <w:pStyle w:val="11"/>
      </w:pPr>
    </w:p>
    <w:p w14:paraId="465C9415">
      <w:pPr>
        <w:pStyle w:val="11"/>
      </w:pPr>
    </w:p>
    <w:p w14:paraId="75540097">
      <w:pPr>
        <w:pStyle w:val="11"/>
      </w:pPr>
    </w:p>
    <w:p w14:paraId="393070AD">
      <w:pPr>
        <w:pStyle w:val="11"/>
      </w:pPr>
    </w:p>
    <w:p w14:paraId="50DC1770">
      <w:pPr>
        <w:pStyle w:val="11"/>
      </w:pPr>
    </w:p>
    <w:p w14:paraId="63B9793C">
      <w:pPr>
        <w:pStyle w:val="11"/>
      </w:pPr>
    </w:p>
    <w:p w14:paraId="784DAB49">
      <w:pPr>
        <w:pStyle w:val="11"/>
      </w:pPr>
    </w:p>
    <w:p w14:paraId="24AD9422">
      <w:pPr>
        <w:pStyle w:val="11"/>
      </w:pPr>
    </w:p>
    <w:p w14:paraId="61D38160">
      <w:pPr>
        <w:pStyle w:val="11"/>
      </w:pPr>
    </w:p>
    <w:p w14:paraId="3D29D6EF">
      <w:pPr>
        <w:pStyle w:val="11"/>
      </w:pPr>
    </w:p>
    <w:p w14:paraId="7FB5DAF3">
      <w:pPr>
        <w:pStyle w:val="11"/>
      </w:pPr>
    </w:p>
    <w:p w14:paraId="1EA973B0">
      <w:pPr>
        <w:pStyle w:val="11"/>
      </w:pPr>
    </w:p>
    <w:p w14:paraId="07AED5DB">
      <w:pPr>
        <w:pStyle w:val="11"/>
      </w:pPr>
    </w:p>
    <w:p w14:paraId="35536E9D">
      <w:pPr>
        <w:pStyle w:val="11"/>
      </w:pPr>
    </w:p>
    <w:p w14:paraId="1FDC3C20">
      <w:pPr>
        <w:pStyle w:val="11"/>
      </w:pPr>
    </w:p>
    <w:p w14:paraId="175B7FE2">
      <w:pPr>
        <w:pStyle w:val="11"/>
      </w:pPr>
    </w:p>
    <w:p w14:paraId="72CC37C5">
      <w:pPr>
        <w:pStyle w:val="11"/>
      </w:pPr>
    </w:p>
    <w:p w14:paraId="0F0C609A">
      <w:pPr>
        <w:pStyle w:val="11"/>
      </w:pPr>
    </w:p>
    <w:p w14:paraId="6FC9F5A1">
      <w:pPr>
        <w:pStyle w:val="11"/>
      </w:pPr>
    </w:p>
    <w:p w14:paraId="42219C90">
      <w:pPr>
        <w:pStyle w:val="11"/>
      </w:pPr>
    </w:p>
    <w:p w14:paraId="49C54AC2">
      <w:pPr>
        <w:pStyle w:val="11"/>
      </w:pPr>
    </w:p>
    <w:p w14:paraId="59BE73EB">
      <w:pPr>
        <w:pStyle w:val="11"/>
      </w:pPr>
    </w:p>
    <w:p w14:paraId="2D438891">
      <w:pPr>
        <w:pStyle w:val="11"/>
        <w:ind w:left="0" w:leftChars="0" w:firstLine="0" w:firstLineChars="0"/>
      </w:pPr>
    </w:p>
    <w:p w14:paraId="02B645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九、</w:t>
      </w:r>
      <w:r>
        <w:rPr>
          <w:rFonts w:hint="eastAsia" w:ascii="宋体" w:hAnsi="宋体" w:eastAsia="宋体" w:cs="宋体"/>
          <w:b/>
          <w:color w:val="auto"/>
          <w:sz w:val="28"/>
          <w:szCs w:val="28"/>
          <w:lang w:val="en-US" w:eastAsia="zh-CN"/>
        </w:rPr>
        <w:t>供应商拒绝政府采购领域商业贿赂承诺书</w:t>
      </w:r>
    </w:p>
    <w:p w14:paraId="738EE804">
      <w:pPr>
        <w:pStyle w:val="8"/>
        <w:rPr>
          <w:rFonts w:hint="eastAsia"/>
          <w:lang w:val="en-US" w:eastAsia="zh-CN"/>
        </w:rPr>
      </w:pPr>
    </w:p>
    <w:p w14:paraId="0C586F1D">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陕西省政府采购投标人</w:t>
      </w: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8"/>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11"/>
      </w:pPr>
    </w:p>
    <w:p w14:paraId="19A54337">
      <w:pPr>
        <w:pStyle w:val="11"/>
      </w:pPr>
    </w:p>
    <w:p w14:paraId="05FF55F8">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投标人认为有必要提供的其它证明资料</w:t>
      </w:r>
    </w:p>
    <w:p w14:paraId="7BE79000">
      <w:pPr>
        <w:pStyle w:val="10"/>
        <w:jc w:val="center"/>
        <w:rPr>
          <w:rFonts w:hint="eastAsia" w:ascii="宋体" w:hAnsi="宋体" w:eastAsia="宋体" w:cs="宋体"/>
          <w:b/>
          <w:color w:val="auto"/>
          <w:sz w:val="24"/>
          <w:szCs w:val="24"/>
          <w:lang w:val="en-US" w:eastAsia="zh-CN"/>
        </w:rPr>
      </w:pPr>
      <w:r>
        <w:rPr>
          <w:rFonts w:hint="eastAsia" w:ascii="宋体" w:hAnsi="宋体" w:cs="Times New Roman"/>
          <w:b/>
          <w:bCs w:val="0"/>
          <w:sz w:val="24"/>
          <w:szCs w:val="24"/>
          <w:lang w:val="en-US" w:eastAsia="zh-CN"/>
        </w:rPr>
        <w:t>1、</w:t>
      </w:r>
      <w:r>
        <w:rPr>
          <w:rFonts w:hint="eastAsia" w:ascii="宋体" w:hAnsi="宋体" w:eastAsia="宋体" w:cs="宋体"/>
          <w:b/>
          <w:color w:val="auto"/>
          <w:sz w:val="24"/>
          <w:szCs w:val="24"/>
          <w:lang w:val="en-US" w:eastAsia="zh-CN"/>
        </w:rPr>
        <w:t>投标人认为有必要提供的其它证明资料</w:t>
      </w:r>
    </w:p>
    <w:p w14:paraId="6F3663C7">
      <w:pPr>
        <w:spacing w:line="440" w:lineRule="exact"/>
        <w:jc w:val="both"/>
        <w:rPr>
          <w:rFonts w:hint="eastAsia" w:ascii="宋体" w:hAnsi="宋体" w:eastAsia="宋体"/>
          <w:b/>
          <w:sz w:val="24"/>
          <w:szCs w:val="24"/>
          <w:lang w:val="en-US" w:eastAsia="zh-CN"/>
        </w:rPr>
      </w:pPr>
    </w:p>
    <w:p w14:paraId="0B69BE14">
      <w:pPr>
        <w:rPr>
          <w:rFonts w:hint="eastAsia" w:eastAsia="宋体"/>
          <w:lang w:eastAsia="zh-CN"/>
        </w:rPr>
      </w:pPr>
    </w:p>
    <w:sectPr>
      <w:footerReference r:id="rId8" w:type="first"/>
      <w:footerReference r:id="rId7" w:type="default"/>
      <w:pgSz w:w="11906" w:h="16838"/>
      <w:pgMar w:top="1134" w:right="1361" w:bottom="1020" w:left="1531" w:header="851" w:footer="992" w:gutter="0"/>
      <w:pgNumType w:fmt="decimal" w:start="3"/>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18"/>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15275">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E15275">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1D754">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61D754">
                    <w:pPr>
                      <w:pStyle w:val="1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9"/>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9"/>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2462E2"/>
    <w:multiLevelType w:val="singleLevel"/>
    <w:tmpl w:val="992462E2"/>
    <w:lvl w:ilvl="0" w:tentative="0">
      <w:start w:val="1"/>
      <w:numFmt w:val="decimal"/>
      <w:suff w:val="nothing"/>
      <w:lvlText w:val="（%1）"/>
      <w:lvlJc w:val="left"/>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BBFAF0DE"/>
    <w:multiLevelType w:val="singleLevel"/>
    <w:tmpl w:val="BBFAF0DE"/>
    <w:lvl w:ilvl="0" w:tentative="0">
      <w:start w:val="1"/>
      <w:numFmt w:val="decimal"/>
      <w:lvlText w:val="%1."/>
      <w:lvlJc w:val="left"/>
      <w:pPr>
        <w:tabs>
          <w:tab w:val="left" w:pos="312"/>
        </w:tabs>
      </w:pPr>
    </w:lvl>
  </w:abstractNum>
  <w:abstractNum w:abstractNumId="3">
    <w:nsid w:val="BE2140C3"/>
    <w:multiLevelType w:val="singleLevel"/>
    <w:tmpl w:val="BE2140C3"/>
    <w:lvl w:ilvl="0" w:tentative="0">
      <w:start w:val="1"/>
      <w:numFmt w:val="chineseCounting"/>
      <w:suff w:val="nothing"/>
      <w:lvlText w:val="%1、"/>
      <w:lvlJc w:val="left"/>
      <w:pPr>
        <w:ind w:left="0"/>
      </w:pPr>
      <w:rPr>
        <w:rFonts w:hint="eastAsia"/>
      </w:rPr>
    </w:lvl>
  </w:abstractNum>
  <w:abstractNum w:abstractNumId="4">
    <w:nsid w:val="BF6E58A2"/>
    <w:multiLevelType w:val="singleLevel"/>
    <w:tmpl w:val="BF6E58A2"/>
    <w:lvl w:ilvl="0" w:tentative="0">
      <w:start w:val="1"/>
      <w:numFmt w:val="decimal"/>
      <w:suff w:val="nothing"/>
      <w:lvlText w:val="（%1）"/>
      <w:lvlJc w:val="left"/>
    </w:lvl>
  </w:abstractNum>
  <w:abstractNum w:abstractNumId="5">
    <w:nsid w:val="EDB58A72"/>
    <w:multiLevelType w:val="singleLevel"/>
    <w:tmpl w:val="EDB58A72"/>
    <w:lvl w:ilvl="0" w:tentative="0">
      <w:start w:val="1"/>
      <w:numFmt w:val="decimal"/>
      <w:lvlText w:val="%1."/>
      <w:lvlJc w:val="left"/>
      <w:pPr>
        <w:tabs>
          <w:tab w:val="left" w:pos="312"/>
        </w:tabs>
      </w:pPr>
    </w:lvl>
  </w:abstractNum>
  <w:abstractNum w:abstractNumId="6">
    <w:nsid w:val="FE13EECB"/>
    <w:multiLevelType w:val="singleLevel"/>
    <w:tmpl w:val="FE13EECB"/>
    <w:lvl w:ilvl="0" w:tentative="0">
      <w:start w:val="1"/>
      <w:numFmt w:val="decimal"/>
      <w:lvlText w:val="%1."/>
      <w:lvlJc w:val="left"/>
      <w:pPr>
        <w:tabs>
          <w:tab w:val="left" w:pos="312"/>
        </w:tabs>
      </w:pPr>
    </w:lvl>
  </w:abstractNum>
  <w:abstractNum w:abstractNumId="7">
    <w:nsid w:val="0C49EEF5"/>
    <w:multiLevelType w:val="singleLevel"/>
    <w:tmpl w:val="0C49EEF5"/>
    <w:lvl w:ilvl="0" w:tentative="0">
      <w:start w:val="1"/>
      <w:numFmt w:val="decimal"/>
      <w:lvlText w:val="%1."/>
      <w:lvlJc w:val="left"/>
      <w:pPr>
        <w:tabs>
          <w:tab w:val="left" w:pos="312"/>
        </w:tabs>
      </w:pPr>
    </w:lvl>
  </w:abstractNum>
  <w:abstractNum w:abstractNumId="8">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0"/>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9">
    <w:nsid w:val="47D8DE9B"/>
    <w:multiLevelType w:val="singleLevel"/>
    <w:tmpl w:val="47D8DE9B"/>
    <w:lvl w:ilvl="0" w:tentative="0">
      <w:start w:val="1"/>
      <w:numFmt w:val="decimal"/>
      <w:suff w:val="space"/>
      <w:lvlText w:val="%1."/>
      <w:lvlJc w:val="left"/>
    </w:lvl>
  </w:abstractNum>
  <w:abstractNum w:abstractNumId="10">
    <w:nsid w:val="51DAB81B"/>
    <w:multiLevelType w:val="singleLevel"/>
    <w:tmpl w:val="51DAB81B"/>
    <w:lvl w:ilvl="0" w:tentative="0">
      <w:start w:val="2"/>
      <w:numFmt w:val="chineseCounting"/>
      <w:suff w:val="nothing"/>
      <w:lvlText w:val="%1、"/>
      <w:lvlJc w:val="left"/>
      <w:rPr>
        <w:rFonts w:hint="eastAsia"/>
      </w:rPr>
    </w:lvl>
  </w:abstractNum>
  <w:abstractNum w:abstractNumId="11">
    <w:nsid w:val="53A483F6"/>
    <w:multiLevelType w:val="singleLevel"/>
    <w:tmpl w:val="53A483F6"/>
    <w:lvl w:ilvl="0" w:tentative="0">
      <w:start w:val="1"/>
      <w:numFmt w:val="decimal"/>
      <w:lvlText w:val="%1."/>
      <w:lvlJc w:val="left"/>
      <w:pPr>
        <w:tabs>
          <w:tab w:val="left" w:pos="312"/>
        </w:tabs>
      </w:pPr>
    </w:lvl>
  </w:abstractNum>
  <w:abstractNum w:abstractNumId="12">
    <w:nsid w:val="55FC552B"/>
    <w:multiLevelType w:val="singleLevel"/>
    <w:tmpl w:val="55FC552B"/>
    <w:lvl w:ilvl="0" w:tentative="0">
      <w:start w:val="1"/>
      <w:numFmt w:val="chineseCounting"/>
      <w:suff w:val="space"/>
      <w:lvlText w:val="第%1条"/>
      <w:lvlJc w:val="left"/>
      <w:rPr>
        <w:rFonts w:hint="eastAsia"/>
      </w:rPr>
    </w:lvl>
  </w:abstractNum>
  <w:abstractNum w:abstractNumId="13">
    <w:nsid w:val="577F7CDB"/>
    <w:multiLevelType w:val="singleLevel"/>
    <w:tmpl w:val="577F7CDB"/>
    <w:lvl w:ilvl="0" w:tentative="0">
      <w:start w:val="1"/>
      <w:numFmt w:val="decimal"/>
      <w:suff w:val="nothing"/>
      <w:lvlText w:val="%1、"/>
      <w:lvlJc w:val="left"/>
    </w:lvl>
  </w:abstractNum>
  <w:abstractNum w:abstractNumId="14">
    <w:nsid w:val="5A7B1E7A"/>
    <w:multiLevelType w:val="singleLevel"/>
    <w:tmpl w:val="5A7B1E7A"/>
    <w:lvl w:ilvl="0" w:tentative="0">
      <w:start w:val="1"/>
      <w:numFmt w:val="decimal"/>
      <w:suff w:val="nothing"/>
      <w:lvlText w:val="（%1）"/>
      <w:lvlJc w:val="left"/>
    </w:lvl>
  </w:abstractNum>
  <w:abstractNum w:abstractNumId="15">
    <w:nsid w:val="62F49350"/>
    <w:multiLevelType w:val="singleLevel"/>
    <w:tmpl w:val="62F49350"/>
    <w:lvl w:ilvl="0" w:tentative="0">
      <w:start w:val="4"/>
      <w:numFmt w:val="chineseCounting"/>
      <w:suff w:val="nothing"/>
      <w:lvlText w:val="%1、"/>
      <w:lvlJc w:val="left"/>
      <w:rPr>
        <w:rFonts w:hint="eastAsia"/>
      </w:rPr>
    </w:lvl>
  </w:abstractNum>
  <w:abstractNum w:abstractNumId="16">
    <w:nsid w:val="6A9846FB"/>
    <w:multiLevelType w:val="singleLevel"/>
    <w:tmpl w:val="6A9846FB"/>
    <w:lvl w:ilvl="0" w:tentative="0">
      <w:start w:val="5"/>
      <w:numFmt w:val="chineseCounting"/>
      <w:suff w:val="nothing"/>
      <w:lvlText w:val="%1、"/>
      <w:lvlJc w:val="left"/>
      <w:rPr>
        <w:rFonts w:hint="eastAsia"/>
      </w:rPr>
    </w:lvl>
  </w:abstractNum>
  <w:abstractNum w:abstractNumId="17">
    <w:nsid w:val="77A8FF72"/>
    <w:multiLevelType w:val="singleLevel"/>
    <w:tmpl w:val="77A8FF72"/>
    <w:lvl w:ilvl="0" w:tentative="0">
      <w:start w:val="2"/>
      <w:numFmt w:val="decimal"/>
      <w:suff w:val="nothing"/>
      <w:lvlText w:val="%1、"/>
      <w:lvlJc w:val="left"/>
    </w:lvl>
  </w:abstractNum>
  <w:num w:numId="1">
    <w:abstractNumId w:val="8"/>
  </w:num>
  <w:num w:numId="2">
    <w:abstractNumId w:val="4"/>
  </w:num>
  <w:num w:numId="3">
    <w:abstractNumId w:val="16"/>
  </w:num>
  <w:num w:numId="4">
    <w:abstractNumId w:val="17"/>
  </w:num>
  <w:num w:numId="5">
    <w:abstractNumId w:val="1"/>
  </w:num>
  <w:num w:numId="6">
    <w:abstractNumId w:val="10"/>
  </w:num>
  <w:num w:numId="7">
    <w:abstractNumId w:val="15"/>
  </w:num>
  <w:num w:numId="8">
    <w:abstractNumId w:val="12"/>
  </w:num>
  <w:num w:numId="9">
    <w:abstractNumId w:val="9"/>
  </w:num>
  <w:num w:numId="10">
    <w:abstractNumId w:val="2"/>
  </w:num>
  <w:num w:numId="11">
    <w:abstractNumId w:val="0"/>
  </w:num>
  <w:num w:numId="12">
    <w:abstractNumId w:val="14"/>
  </w:num>
  <w:num w:numId="13">
    <w:abstractNumId w:val="11"/>
  </w:num>
  <w:num w:numId="14">
    <w:abstractNumId w:val="7"/>
  </w:num>
  <w:num w:numId="15">
    <w:abstractNumId w:val="5"/>
  </w:num>
  <w:num w:numId="16">
    <w:abstractNumId w:val="6"/>
  </w:num>
  <w:num w:numId="17">
    <w:abstractNumId w:val="13"/>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76791"/>
    <w:rsid w:val="000F76D9"/>
    <w:rsid w:val="00125861"/>
    <w:rsid w:val="0018274C"/>
    <w:rsid w:val="001F73DC"/>
    <w:rsid w:val="00237A6E"/>
    <w:rsid w:val="0031380D"/>
    <w:rsid w:val="003F5F2A"/>
    <w:rsid w:val="004437E1"/>
    <w:rsid w:val="00563274"/>
    <w:rsid w:val="006D7F73"/>
    <w:rsid w:val="006E05BE"/>
    <w:rsid w:val="00710901"/>
    <w:rsid w:val="007C0BD0"/>
    <w:rsid w:val="00991ADF"/>
    <w:rsid w:val="0099719F"/>
    <w:rsid w:val="009E70F5"/>
    <w:rsid w:val="00A40483"/>
    <w:rsid w:val="00A81D22"/>
    <w:rsid w:val="00AD10E6"/>
    <w:rsid w:val="00AD2CB8"/>
    <w:rsid w:val="00B71E49"/>
    <w:rsid w:val="00EB417B"/>
    <w:rsid w:val="00F057A5"/>
    <w:rsid w:val="00FB2B5A"/>
    <w:rsid w:val="00FF65F7"/>
    <w:rsid w:val="01056B15"/>
    <w:rsid w:val="010A29DC"/>
    <w:rsid w:val="010B22B0"/>
    <w:rsid w:val="011473B7"/>
    <w:rsid w:val="01211AD4"/>
    <w:rsid w:val="01232B8D"/>
    <w:rsid w:val="012375FA"/>
    <w:rsid w:val="0127533C"/>
    <w:rsid w:val="012B2944"/>
    <w:rsid w:val="013D378C"/>
    <w:rsid w:val="014C34CF"/>
    <w:rsid w:val="01523916"/>
    <w:rsid w:val="015468C6"/>
    <w:rsid w:val="01595B17"/>
    <w:rsid w:val="015E2E6C"/>
    <w:rsid w:val="01623BB8"/>
    <w:rsid w:val="01671BDD"/>
    <w:rsid w:val="016966C8"/>
    <w:rsid w:val="016C5A02"/>
    <w:rsid w:val="01733597"/>
    <w:rsid w:val="01896811"/>
    <w:rsid w:val="01A93FA3"/>
    <w:rsid w:val="01B6221C"/>
    <w:rsid w:val="01B666C0"/>
    <w:rsid w:val="01B97F5E"/>
    <w:rsid w:val="01BB689F"/>
    <w:rsid w:val="01E46D89"/>
    <w:rsid w:val="01EC3E90"/>
    <w:rsid w:val="01F40F97"/>
    <w:rsid w:val="01FE5971"/>
    <w:rsid w:val="02070CCA"/>
    <w:rsid w:val="02092C94"/>
    <w:rsid w:val="020B624D"/>
    <w:rsid w:val="02113336"/>
    <w:rsid w:val="0213766F"/>
    <w:rsid w:val="02150963"/>
    <w:rsid w:val="02290C40"/>
    <w:rsid w:val="022B2C0A"/>
    <w:rsid w:val="02443CCC"/>
    <w:rsid w:val="02445A7A"/>
    <w:rsid w:val="024C4677"/>
    <w:rsid w:val="02550A72"/>
    <w:rsid w:val="0256755B"/>
    <w:rsid w:val="0260561A"/>
    <w:rsid w:val="026121FC"/>
    <w:rsid w:val="026A02B6"/>
    <w:rsid w:val="026B62A8"/>
    <w:rsid w:val="027427F8"/>
    <w:rsid w:val="02783976"/>
    <w:rsid w:val="027A08A3"/>
    <w:rsid w:val="02810A7C"/>
    <w:rsid w:val="0281282A"/>
    <w:rsid w:val="02832A46"/>
    <w:rsid w:val="0288005D"/>
    <w:rsid w:val="029C1412"/>
    <w:rsid w:val="02A44EDE"/>
    <w:rsid w:val="02C62933"/>
    <w:rsid w:val="02C646E1"/>
    <w:rsid w:val="02C82D8F"/>
    <w:rsid w:val="02D700C4"/>
    <w:rsid w:val="02DA018C"/>
    <w:rsid w:val="02EF360D"/>
    <w:rsid w:val="02F54BEC"/>
    <w:rsid w:val="03062D2F"/>
    <w:rsid w:val="03065425"/>
    <w:rsid w:val="030F31DC"/>
    <w:rsid w:val="03196F07"/>
    <w:rsid w:val="031B2C7F"/>
    <w:rsid w:val="03200295"/>
    <w:rsid w:val="0328714A"/>
    <w:rsid w:val="032D29B2"/>
    <w:rsid w:val="03435D32"/>
    <w:rsid w:val="034A1631"/>
    <w:rsid w:val="034A70C0"/>
    <w:rsid w:val="035D3297"/>
    <w:rsid w:val="03613C83"/>
    <w:rsid w:val="03675440"/>
    <w:rsid w:val="03684505"/>
    <w:rsid w:val="036A1510"/>
    <w:rsid w:val="036B01DF"/>
    <w:rsid w:val="036D2DAF"/>
    <w:rsid w:val="03702B78"/>
    <w:rsid w:val="037E320E"/>
    <w:rsid w:val="038720C2"/>
    <w:rsid w:val="038B1487"/>
    <w:rsid w:val="03B15113"/>
    <w:rsid w:val="03B804CE"/>
    <w:rsid w:val="03BE52B3"/>
    <w:rsid w:val="03CB152B"/>
    <w:rsid w:val="03D746CC"/>
    <w:rsid w:val="03D8291E"/>
    <w:rsid w:val="03E72B61"/>
    <w:rsid w:val="03F8117C"/>
    <w:rsid w:val="03FD05D6"/>
    <w:rsid w:val="04067C8D"/>
    <w:rsid w:val="04082AD7"/>
    <w:rsid w:val="04185410"/>
    <w:rsid w:val="042C2C6A"/>
    <w:rsid w:val="04341DFE"/>
    <w:rsid w:val="043949B0"/>
    <w:rsid w:val="043A35D9"/>
    <w:rsid w:val="04425FE9"/>
    <w:rsid w:val="04441D61"/>
    <w:rsid w:val="04575F38"/>
    <w:rsid w:val="0466268B"/>
    <w:rsid w:val="04814D63"/>
    <w:rsid w:val="048C20F3"/>
    <w:rsid w:val="048C54B6"/>
    <w:rsid w:val="048E122E"/>
    <w:rsid w:val="04936845"/>
    <w:rsid w:val="049740F6"/>
    <w:rsid w:val="049B66F4"/>
    <w:rsid w:val="049F7260"/>
    <w:rsid w:val="04A014E7"/>
    <w:rsid w:val="04BC5D9C"/>
    <w:rsid w:val="04BF3ADE"/>
    <w:rsid w:val="04C82992"/>
    <w:rsid w:val="04CD25D3"/>
    <w:rsid w:val="04CE5D97"/>
    <w:rsid w:val="04D07A99"/>
    <w:rsid w:val="04D330E5"/>
    <w:rsid w:val="04D70E27"/>
    <w:rsid w:val="04F6087F"/>
    <w:rsid w:val="051536FE"/>
    <w:rsid w:val="05202571"/>
    <w:rsid w:val="052027CE"/>
    <w:rsid w:val="05331380"/>
    <w:rsid w:val="053E6052"/>
    <w:rsid w:val="053F6F8A"/>
    <w:rsid w:val="05453E3C"/>
    <w:rsid w:val="05461B09"/>
    <w:rsid w:val="055F2BCB"/>
    <w:rsid w:val="05656433"/>
    <w:rsid w:val="057E150A"/>
    <w:rsid w:val="058615F4"/>
    <w:rsid w:val="058D1597"/>
    <w:rsid w:val="05A85E79"/>
    <w:rsid w:val="05AC4062"/>
    <w:rsid w:val="05BC1DCB"/>
    <w:rsid w:val="05BD7354"/>
    <w:rsid w:val="05C07B0D"/>
    <w:rsid w:val="05C41FED"/>
    <w:rsid w:val="05D11D1B"/>
    <w:rsid w:val="05D966CC"/>
    <w:rsid w:val="05DD5BF5"/>
    <w:rsid w:val="05E25CD6"/>
    <w:rsid w:val="05E76E48"/>
    <w:rsid w:val="05ED1711"/>
    <w:rsid w:val="05F65389"/>
    <w:rsid w:val="05F9774F"/>
    <w:rsid w:val="05FE0636"/>
    <w:rsid w:val="06110369"/>
    <w:rsid w:val="06141643"/>
    <w:rsid w:val="063744C3"/>
    <w:rsid w:val="06395BAC"/>
    <w:rsid w:val="06427EF3"/>
    <w:rsid w:val="064424ED"/>
    <w:rsid w:val="065546FA"/>
    <w:rsid w:val="06606BFB"/>
    <w:rsid w:val="06620BC5"/>
    <w:rsid w:val="06640499"/>
    <w:rsid w:val="0668601C"/>
    <w:rsid w:val="06716FC0"/>
    <w:rsid w:val="067526A6"/>
    <w:rsid w:val="067B1C86"/>
    <w:rsid w:val="069A3221"/>
    <w:rsid w:val="06A007EE"/>
    <w:rsid w:val="06BA6731"/>
    <w:rsid w:val="06C23729"/>
    <w:rsid w:val="06C53C22"/>
    <w:rsid w:val="06C74ECC"/>
    <w:rsid w:val="06D42F74"/>
    <w:rsid w:val="06D463D3"/>
    <w:rsid w:val="06D82C35"/>
    <w:rsid w:val="06E077F0"/>
    <w:rsid w:val="07004E7A"/>
    <w:rsid w:val="07033C56"/>
    <w:rsid w:val="070E2BED"/>
    <w:rsid w:val="0717375D"/>
    <w:rsid w:val="071874D5"/>
    <w:rsid w:val="0721638A"/>
    <w:rsid w:val="07267E44"/>
    <w:rsid w:val="073360BD"/>
    <w:rsid w:val="07356D81"/>
    <w:rsid w:val="073C31C4"/>
    <w:rsid w:val="073F4A62"/>
    <w:rsid w:val="074327A4"/>
    <w:rsid w:val="0744651C"/>
    <w:rsid w:val="0759398F"/>
    <w:rsid w:val="076827EA"/>
    <w:rsid w:val="07697D31"/>
    <w:rsid w:val="0773730A"/>
    <w:rsid w:val="07814C84"/>
    <w:rsid w:val="078B414B"/>
    <w:rsid w:val="079254DA"/>
    <w:rsid w:val="07931D3A"/>
    <w:rsid w:val="07B37245"/>
    <w:rsid w:val="07B45292"/>
    <w:rsid w:val="07C37C3C"/>
    <w:rsid w:val="07D258D6"/>
    <w:rsid w:val="07DE071F"/>
    <w:rsid w:val="07E06245"/>
    <w:rsid w:val="07E1307F"/>
    <w:rsid w:val="07E2739D"/>
    <w:rsid w:val="07F37713"/>
    <w:rsid w:val="07F61E25"/>
    <w:rsid w:val="08067101"/>
    <w:rsid w:val="0811723B"/>
    <w:rsid w:val="0812427F"/>
    <w:rsid w:val="0817778D"/>
    <w:rsid w:val="08251846"/>
    <w:rsid w:val="082C3238"/>
    <w:rsid w:val="083C5D62"/>
    <w:rsid w:val="083F7CC8"/>
    <w:rsid w:val="0842480A"/>
    <w:rsid w:val="08471E20"/>
    <w:rsid w:val="084B0368"/>
    <w:rsid w:val="08581A9C"/>
    <w:rsid w:val="08607386"/>
    <w:rsid w:val="086E55FF"/>
    <w:rsid w:val="086F75C9"/>
    <w:rsid w:val="08732C15"/>
    <w:rsid w:val="087B1E88"/>
    <w:rsid w:val="08A13C26"/>
    <w:rsid w:val="08A90D2D"/>
    <w:rsid w:val="08B03E69"/>
    <w:rsid w:val="08B5322E"/>
    <w:rsid w:val="08C276DA"/>
    <w:rsid w:val="08D00067"/>
    <w:rsid w:val="08E458C1"/>
    <w:rsid w:val="08EB30F3"/>
    <w:rsid w:val="08F301FA"/>
    <w:rsid w:val="08F3438E"/>
    <w:rsid w:val="08F43D9D"/>
    <w:rsid w:val="090146C5"/>
    <w:rsid w:val="09047FA3"/>
    <w:rsid w:val="09054EC8"/>
    <w:rsid w:val="09104908"/>
    <w:rsid w:val="0911242E"/>
    <w:rsid w:val="09220EDE"/>
    <w:rsid w:val="0926412B"/>
    <w:rsid w:val="09293C1C"/>
    <w:rsid w:val="09320D22"/>
    <w:rsid w:val="094445B2"/>
    <w:rsid w:val="09523172"/>
    <w:rsid w:val="097A5C19"/>
    <w:rsid w:val="09825F84"/>
    <w:rsid w:val="09840C12"/>
    <w:rsid w:val="098862E4"/>
    <w:rsid w:val="0996700F"/>
    <w:rsid w:val="099948FD"/>
    <w:rsid w:val="099E0166"/>
    <w:rsid w:val="09A3577C"/>
    <w:rsid w:val="09A84B40"/>
    <w:rsid w:val="09AB4631"/>
    <w:rsid w:val="09C556F2"/>
    <w:rsid w:val="09CF34DB"/>
    <w:rsid w:val="09D3189F"/>
    <w:rsid w:val="09D54F12"/>
    <w:rsid w:val="09DE0562"/>
    <w:rsid w:val="09EC4135"/>
    <w:rsid w:val="0A073F5D"/>
    <w:rsid w:val="0A133E27"/>
    <w:rsid w:val="0A2156CD"/>
    <w:rsid w:val="0A232419"/>
    <w:rsid w:val="0A2A4B80"/>
    <w:rsid w:val="0A2C48E5"/>
    <w:rsid w:val="0A2C751F"/>
    <w:rsid w:val="0A435503"/>
    <w:rsid w:val="0A440564"/>
    <w:rsid w:val="0A481E7F"/>
    <w:rsid w:val="0A4B01E4"/>
    <w:rsid w:val="0A4D156C"/>
    <w:rsid w:val="0A59408D"/>
    <w:rsid w:val="0A5B6057"/>
    <w:rsid w:val="0A5C592B"/>
    <w:rsid w:val="0A691D30"/>
    <w:rsid w:val="0A6D18E6"/>
    <w:rsid w:val="0A747118"/>
    <w:rsid w:val="0A79472F"/>
    <w:rsid w:val="0A7D6D13"/>
    <w:rsid w:val="0A813EC0"/>
    <w:rsid w:val="0A886720"/>
    <w:rsid w:val="0A887008"/>
    <w:rsid w:val="0A8A693C"/>
    <w:rsid w:val="0A9D21CB"/>
    <w:rsid w:val="0AA6134E"/>
    <w:rsid w:val="0AA9599B"/>
    <w:rsid w:val="0ABE3E55"/>
    <w:rsid w:val="0AC05EBA"/>
    <w:rsid w:val="0AC11B00"/>
    <w:rsid w:val="0AC61DDC"/>
    <w:rsid w:val="0AC92FC0"/>
    <w:rsid w:val="0AD656DD"/>
    <w:rsid w:val="0AD84EB6"/>
    <w:rsid w:val="0AE17A09"/>
    <w:rsid w:val="0AE75B3C"/>
    <w:rsid w:val="0AE76798"/>
    <w:rsid w:val="0AEA40DE"/>
    <w:rsid w:val="0AF3628F"/>
    <w:rsid w:val="0B03448E"/>
    <w:rsid w:val="0B095AB3"/>
    <w:rsid w:val="0B136931"/>
    <w:rsid w:val="0B1D50BA"/>
    <w:rsid w:val="0B2226D0"/>
    <w:rsid w:val="0B2E376B"/>
    <w:rsid w:val="0B30303F"/>
    <w:rsid w:val="0B3101B0"/>
    <w:rsid w:val="0B3B6EED"/>
    <w:rsid w:val="0B401CC1"/>
    <w:rsid w:val="0B4048A7"/>
    <w:rsid w:val="0B460AB5"/>
    <w:rsid w:val="0B491B01"/>
    <w:rsid w:val="0B4E5BBB"/>
    <w:rsid w:val="0B5C3B06"/>
    <w:rsid w:val="0B6131F9"/>
    <w:rsid w:val="0B62022D"/>
    <w:rsid w:val="0B776EC0"/>
    <w:rsid w:val="0B7A075E"/>
    <w:rsid w:val="0B7C6285"/>
    <w:rsid w:val="0B882E7B"/>
    <w:rsid w:val="0B903ADE"/>
    <w:rsid w:val="0B9E269F"/>
    <w:rsid w:val="0BA17A99"/>
    <w:rsid w:val="0BA650B0"/>
    <w:rsid w:val="0BA7531E"/>
    <w:rsid w:val="0BA86779"/>
    <w:rsid w:val="0BA92DF2"/>
    <w:rsid w:val="0BA960A9"/>
    <w:rsid w:val="0BAF6029"/>
    <w:rsid w:val="0BBC0D77"/>
    <w:rsid w:val="0BD775B0"/>
    <w:rsid w:val="0BE8391A"/>
    <w:rsid w:val="0BEF47FF"/>
    <w:rsid w:val="0BF105BE"/>
    <w:rsid w:val="0BF3203F"/>
    <w:rsid w:val="0BFC6C81"/>
    <w:rsid w:val="0C0D523B"/>
    <w:rsid w:val="0C1C35C4"/>
    <w:rsid w:val="0C223ECB"/>
    <w:rsid w:val="0C2506CA"/>
    <w:rsid w:val="0C344DB1"/>
    <w:rsid w:val="0C3C4634"/>
    <w:rsid w:val="0C403756"/>
    <w:rsid w:val="0C4072B2"/>
    <w:rsid w:val="0C4722E3"/>
    <w:rsid w:val="0C517711"/>
    <w:rsid w:val="0C590374"/>
    <w:rsid w:val="0C630ED0"/>
    <w:rsid w:val="0C752AF0"/>
    <w:rsid w:val="0C8353F1"/>
    <w:rsid w:val="0C8C2590"/>
    <w:rsid w:val="0C943AA2"/>
    <w:rsid w:val="0C9E222B"/>
    <w:rsid w:val="0CAA0790"/>
    <w:rsid w:val="0CB201F7"/>
    <w:rsid w:val="0CB35CD6"/>
    <w:rsid w:val="0CB47CA0"/>
    <w:rsid w:val="0CC7352F"/>
    <w:rsid w:val="0CC865AF"/>
    <w:rsid w:val="0CCA1D8C"/>
    <w:rsid w:val="0CD143AE"/>
    <w:rsid w:val="0CD60C39"/>
    <w:rsid w:val="0CD65E68"/>
    <w:rsid w:val="0CED4B08"/>
    <w:rsid w:val="0CEE4F60"/>
    <w:rsid w:val="0CFB69A6"/>
    <w:rsid w:val="0D020A0B"/>
    <w:rsid w:val="0D1920EC"/>
    <w:rsid w:val="0D2210AE"/>
    <w:rsid w:val="0D26294C"/>
    <w:rsid w:val="0D2941EA"/>
    <w:rsid w:val="0D2A1D10"/>
    <w:rsid w:val="0D2E1801"/>
    <w:rsid w:val="0D326105"/>
    <w:rsid w:val="0D343E0C"/>
    <w:rsid w:val="0D4525A2"/>
    <w:rsid w:val="0D474670"/>
    <w:rsid w:val="0D50574B"/>
    <w:rsid w:val="0D5D3E94"/>
    <w:rsid w:val="0D6E7E4F"/>
    <w:rsid w:val="0D831A51"/>
    <w:rsid w:val="0D845ABA"/>
    <w:rsid w:val="0D8633EB"/>
    <w:rsid w:val="0D867DF7"/>
    <w:rsid w:val="0DB22432"/>
    <w:rsid w:val="0DBA3094"/>
    <w:rsid w:val="0DC12675"/>
    <w:rsid w:val="0DD24882"/>
    <w:rsid w:val="0DF465A6"/>
    <w:rsid w:val="0DF76096"/>
    <w:rsid w:val="0DFC545B"/>
    <w:rsid w:val="0E02261C"/>
    <w:rsid w:val="0E0367E9"/>
    <w:rsid w:val="0E1B7FD7"/>
    <w:rsid w:val="0E1D0939"/>
    <w:rsid w:val="0E223CBB"/>
    <w:rsid w:val="0E341099"/>
    <w:rsid w:val="0E482EB1"/>
    <w:rsid w:val="0E4B5226"/>
    <w:rsid w:val="0E52222D"/>
    <w:rsid w:val="0E522A26"/>
    <w:rsid w:val="0E545297"/>
    <w:rsid w:val="0E586619"/>
    <w:rsid w:val="0E625C06"/>
    <w:rsid w:val="0E6F20D1"/>
    <w:rsid w:val="0E6F42D9"/>
    <w:rsid w:val="0E721BC1"/>
    <w:rsid w:val="0E742D85"/>
    <w:rsid w:val="0E770F85"/>
    <w:rsid w:val="0E7E752C"/>
    <w:rsid w:val="0E8D27D4"/>
    <w:rsid w:val="0E927B6D"/>
    <w:rsid w:val="0E96765D"/>
    <w:rsid w:val="0E9733D5"/>
    <w:rsid w:val="0EA10147"/>
    <w:rsid w:val="0EA77ABC"/>
    <w:rsid w:val="0EAE0E4B"/>
    <w:rsid w:val="0EBB3568"/>
    <w:rsid w:val="0EBD6DB5"/>
    <w:rsid w:val="0EC02F0C"/>
    <w:rsid w:val="0EC71F0D"/>
    <w:rsid w:val="0ED02F14"/>
    <w:rsid w:val="0ED40186"/>
    <w:rsid w:val="0ED94D72"/>
    <w:rsid w:val="0EDA49E8"/>
    <w:rsid w:val="0EE952EE"/>
    <w:rsid w:val="0EEF4FBF"/>
    <w:rsid w:val="0EF34AB0"/>
    <w:rsid w:val="0EF62EAC"/>
    <w:rsid w:val="0EF645A0"/>
    <w:rsid w:val="0EF97BEC"/>
    <w:rsid w:val="0F0F7410"/>
    <w:rsid w:val="0F190B35"/>
    <w:rsid w:val="0F1E7653"/>
    <w:rsid w:val="0F1F3AF7"/>
    <w:rsid w:val="0F2B5D2E"/>
    <w:rsid w:val="0F2C1D70"/>
    <w:rsid w:val="0F3A1CBC"/>
    <w:rsid w:val="0F4305FB"/>
    <w:rsid w:val="0F4477E1"/>
    <w:rsid w:val="0F517A28"/>
    <w:rsid w:val="0F5F2145"/>
    <w:rsid w:val="0F6858A6"/>
    <w:rsid w:val="0F6C3813"/>
    <w:rsid w:val="0F7554C5"/>
    <w:rsid w:val="0F761893"/>
    <w:rsid w:val="0F7C0174"/>
    <w:rsid w:val="0F7E35D1"/>
    <w:rsid w:val="0F8F6CD7"/>
    <w:rsid w:val="0F90117F"/>
    <w:rsid w:val="0F987405"/>
    <w:rsid w:val="0F9B7E9F"/>
    <w:rsid w:val="0FA22032"/>
    <w:rsid w:val="0FAB2237"/>
    <w:rsid w:val="0FBD0635"/>
    <w:rsid w:val="0FBF4992"/>
    <w:rsid w:val="0FC05FDF"/>
    <w:rsid w:val="0FCE2E27"/>
    <w:rsid w:val="0FDC5544"/>
    <w:rsid w:val="0FE95EB3"/>
    <w:rsid w:val="0FF17498"/>
    <w:rsid w:val="0FF26B15"/>
    <w:rsid w:val="0FF94B86"/>
    <w:rsid w:val="0FFE5E0A"/>
    <w:rsid w:val="100918C8"/>
    <w:rsid w:val="10141182"/>
    <w:rsid w:val="1027517D"/>
    <w:rsid w:val="10280789"/>
    <w:rsid w:val="102962AF"/>
    <w:rsid w:val="103A69AD"/>
    <w:rsid w:val="103A6B6B"/>
    <w:rsid w:val="106B7A57"/>
    <w:rsid w:val="10702130"/>
    <w:rsid w:val="107A6A69"/>
    <w:rsid w:val="107C3325"/>
    <w:rsid w:val="107E3637"/>
    <w:rsid w:val="108A31F2"/>
    <w:rsid w:val="10914580"/>
    <w:rsid w:val="109202F8"/>
    <w:rsid w:val="10920440"/>
    <w:rsid w:val="10944070"/>
    <w:rsid w:val="10AB4F16"/>
    <w:rsid w:val="10AD5132"/>
    <w:rsid w:val="10B31561"/>
    <w:rsid w:val="10B4201D"/>
    <w:rsid w:val="10BD1B97"/>
    <w:rsid w:val="10BE19FD"/>
    <w:rsid w:val="10C12392"/>
    <w:rsid w:val="10CA1840"/>
    <w:rsid w:val="10CB7366"/>
    <w:rsid w:val="10CD30DE"/>
    <w:rsid w:val="10D20D6A"/>
    <w:rsid w:val="10FB5B4B"/>
    <w:rsid w:val="11001706"/>
    <w:rsid w:val="110272FA"/>
    <w:rsid w:val="110F7B9B"/>
    <w:rsid w:val="11260F97"/>
    <w:rsid w:val="112E454F"/>
    <w:rsid w:val="112E6273"/>
    <w:rsid w:val="11535FC6"/>
    <w:rsid w:val="115F61DB"/>
    <w:rsid w:val="1170063A"/>
    <w:rsid w:val="11716160"/>
    <w:rsid w:val="1178129C"/>
    <w:rsid w:val="117874EE"/>
    <w:rsid w:val="11895257"/>
    <w:rsid w:val="119F30B2"/>
    <w:rsid w:val="11A16A45"/>
    <w:rsid w:val="11A43DCD"/>
    <w:rsid w:val="11A6405B"/>
    <w:rsid w:val="11A958FA"/>
    <w:rsid w:val="11D0163A"/>
    <w:rsid w:val="11D03F3F"/>
    <w:rsid w:val="11E40629"/>
    <w:rsid w:val="11EE5A02"/>
    <w:rsid w:val="11F0177A"/>
    <w:rsid w:val="11F56D91"/>
    <w:rsid w:val="120314AE"/>
    <w:rsid w:val="12042B30"/>
    <w:rsid w:val="12060FFD"/>
    <w:rsid w:val="12200CCD"/>
    <w:rsid w:val="1222745A"/>
    <w:rsid w:val="122D02D9"/>
    <w:rsid w:val="12331667"/>
    <w:rsid w:val="123823B6"/>
    <w:rsid w:val="123F000C"/>
    <w:rsid w:val="123F1DBA"/>
    <w:rsid w:val="12411FD6"/>
    <w:rsid w:val="124778E5"/>
    <w:rsid w:val="124C55B5"/>
    <w:rsid w:val="125947EA"/>
    <w:rsid w:val="125D29B3"/>
    <w:rsid w:val="125F420A"/>
    <w:rsid w:val="126015F2"/>
    <w:rsid w:val="12637723"/>
    <w:rsid w:val="126D6927"/>
    <w:rsid w:val="12747CB6"/>
    <w:rsid w:val="12766135"/>
    <w:rsid w:val="127836A6"/>
    <w:rsid w:val="127B123D"/>
    <w:rsid w:val="127B5306"/>
    <w:rsid w:val="127C4DBC"/>
    <w:rsid w:val="127D3BD3"/>
    <w:rsid w:val="127F2B0F"/>
    <w:rsid w:val="128D7214"/>
    <w:rsid w:val="129A752D"/>
    <w:rsid w:val="129B16E6"/>
    <w:rsid w:val="12A52565"/>
    <w:rsid w:val="12BC5031"/>
    <w:rsid w:val="12C25B49"/>
    <w:rsid w:val="12CB18A0"/>
    <w:rsid w:val="12D673F3"/>
    <w:rsid w:val="12DB5F87"/>
    <w:rsid w:val="12E070F9"/>
    <w:rsid w:val="12E3308D"/>
    <w:rsid w:val="12E4360A"/>
    <w:rsid w:val="12ED25D8"/>
    <w:rsid w:val="12EF558E"/>
    <w:rsid w:val="12F10A6A"/>
    <w:rsid w:val="12F138A5"/>
    <w:rsid w:val="12F23EDA"/>
    <w:rsid w:val="12FD6F15"/>
    <w:rsid w:val="130152C1"/>
    <w:rsid w:val="13042599"/>
    <w:rsid w:val="130F79DE"/>
    <w:rsid w:val="13166FBF"/>
    <w:rsid w:val="131E09CC"/>
    <w:rsid w:val="131E5E95"/>
    <w:rsid w:val="13294F44"/>
    <w:rsid w:val="132F1E2E"/>
    <w:rsid w:val="13541895"/>
    <w:rsid w:val="13655850"/>
    <w:rsid w:val="1379604D"/>
    <w:rsid w:val="138403CC"/>
    <w:rsid w:val="13894EBE"/>
    <w:rsid w:val="138C0764"/>
    <w:rsid w:val="138E124B"/>
    <w:rsid w:val="139672B6"/>
    <w:rsid w:val="13981284"/>
    <w:rsid w:val="13AA75F1"/>
    <w:rsid w:val="13AA7707"/>
    <w:rsid w:val="13DC144B"/>
    <w:rsid w:val="13E43812"/>
    <w:rsid w:val="13E8587D"/>
    <w:rsid w:val="13EB044B"/>
    <w:rsid w:val="140432BB"/>
    <w:rsid w:val="14131662"/>
    <w:rsid w:val="14147CA2"/>
    <w:rsid w:val="141D041D"/>
    <w:rsid w:val="14220C1A"/>
    <w:rsid w:val="14292D22"/>
    <w:rsid w:val="143811B7"/>
    <w:rsid w:val="143C4803"/>
    <w:rsid w:val="14412DE0"/>
    <w:rsid w:val="144E09DA"/>
    <w:rsid w:val="144E1D1F"/>
    <w:rsid w:val="14515DD5"/>
    <w:rsid w:val="14592443"/>
    <w:rsid w:val="145A1902"/>
    <w:rsid w:val="14686756"/>
    <w:rsid w:val="14691AC1"/>
    <w:rsid w:val="146D70B2"/>
    <w:rsid w:val="147246C9"/>
    <w:rsid w:val="14887A48"/>
    <w:rsid w:val="149A3C1F"/>
    <w:rsid w:val="149C34F4"/>
    <w:rsid w:val="14A405FA"/>
    <w:rsid w:val="14A65684"/>
    <w:rsid w:val="14B4066B"/>
    <w:rsid w:val="14C34F24"/>
    <w:rsid w:val="14CE64B1"/>
    <w:rsid w:val="14CF5677"/>
    <w:rsid w:val="14D16B8C"/>
    <w:rsid w:val="14D707B5"/>
    <w:rsid w:val="14E804E7"/>
    <w:rsid w:val="14EB680E"/>
    <w:rsid w:val="14F670A8"/>
    <w:rsid w:val="15155054"/>
    <w:rsid w:val="15196804"/>
    <w:rsid w:val="153A6FBB"/>
    <w:rsid w:val="15497053"/>
    <w:rsid w:val="154F4A0A"/>
    <w:rsid w:val="15587345"/>
    <w:rsid w:val="15610299"/>
    <w:rsid w:val="158F12AA"/>
    <w:rsid w:val="15AC6E6C"/>
    <w:rsid w:val="15B4486D"/>
    <w:rsid w:val="15B86B36"/>
    <w:rsid w:val="15C80709"/>
    <w:rsid w:val="15E25B15"/>
    <w:rsid w:val="15E6711C"/>
    <w:rsid w:val="15F20809"/>
    <w:rsid w:val="15FC1AE7"/>
    <w:rsid w:val="16020D19"/>
    <w:rsid w:val="16157A01"/>
    <w:rsid w:val="16294DB4"/>
    <w:rsid w:val="163255BF"/>
    <w:rsid w:val="163D0D06"/>
    <w:rsid w:val="16406159"/>
    <w:rsid w:val="16422191"/>
    <w:rsid w:val="164E4CC1"/>
    <w:rsid w:val="165878EE"/>
    <w:rsid w:val="166242C9"/>
    <w:rsid w:val="16685D83"/>
    <w:rsid w:val="166D339A"/>
    <w:rsid w:val="166F001B"/>
    <w:rsid w:val="167B5453"/>
    <w:rsid w:val="167E2E2B"/>
    <w:rsid w:val="16810591"/>
    <w:rsid w:val="1685252C"/>
    <w:rsid w:val="16B70AB9"/>
    <w:rsid w:val="16B87713"/>
    <w:rsid w:val="16C61D53"/>
    <w:rsid w:val="16CA3A08"/>
    <w:rsid w:val="16CE195E"/>
    <w:rsid w:val="16DF3752"/>
    <w:rsid w:val="16E178E4"/>
    <w:rsid w:val="16F07B27"/>
    <w:rsid w:val="16F60ABB"/>
    <w:rsid w:val="170E3AEC"/>
    <w:rsid w:val="17104C29"/>
    <w:rsid w:val="1719707D"/>
    <w:rsid w:val="173E0892"/>
    <w:rsid w:val="17524BCB"/>
    <w:rsid w:val="17562080"/>
    <w:rsid w:val="175E2CE2"/>
    <w:rsid w:val="17680005"/>
    <w:rsid w:val="1779409F"/>
    <w:rsid w:val="177B6156"/>
    <w:rsid w:val="1793664F"/>
    <w:rsid w:val="17A728DB"/>
    <w:rsid w:val="17BB6387"/>
    <w:rsid w:val="17DD57DC"/>
    <w:rsid w:val="17E27D92"/>
    <w:rsid w:val="17E458DD"/>
    <w:rsid w:val="17F65611"/>
    <w:rsid w:val="17F74EEA"/>
    <w:rsid w:val="17FD699F"/>
    <w:rsid w:val="181141F9"/>
    <w:rsid w:val="18197980"/>
    <w:rsid w:val="181C61D7"/>
    <w:rsid w:val="18221F62"/>
    <w:rsid w:val="18267CA4"/>
    <w:rsid w:val="18295721"/>
    <w:rsid w:val="182C3155"/>
    <w:rsid w:val="1844637C"/>
    <w:rsid w:val="18512847"/>
    <w:rsid w:val="1860549E"/>
    <w:rsid w:val="1873609F"/>
    <w:rsid w:val="18762B42"/>
    <w:rsid w:val="188951E5"/>
    <w:rsid w:val="188E3A9B"/>
    <w:rsid w:val="1890336F"/>
    <w:rsid w:val="18972950"/>
    <w:rsid w:val="189B3AC2"/>
    <w:rsid w:val="18BF5A03"/>
    <w:rsid w:val="18CE5C46"/>
    <w:rsid w:val="18D1615E"/>
    <w:rsid w:val="18D74463"/>
    <w:rsid w:val="18F33362"/>
    <w:rsid w:val="18FE5DF4"/>
    <w:rsid w:val="190A1374"/>
    <w:rsid w:val="191778FA"/>
    <w:rsid w:val="19270BD9"/>
    <w:rsid w:val="193261D5"/>
    <w:rsid w:val="19353F17"/>
    <w:rsid w:val="19481E9C"/>
    <w:rsid w:val="194D706E"/>
    <w:rsid w:val="19516FA3"/>
    <w:rsid w:val="19833AA7"/>
    <w:rsid w:val="198509FA"/>
    <w:rsid w:val="1990114D"/>
    <w:rsid w:val="19962C07"/>
    <w:rsid w:val="199926F8"/>
    <w:rsid w:val="19AD40A7"/>
    <w:rsid w:val="19B31E10"/>
    <w:rsid w:val="19F20E44"/>
    <w:rsid w:val="19F22924"/>
    <w:rsid w:val="19F45B80"/>
    <w:rsid w:val="19FA13E8"/>
    <w:rsid w:val="1A1C02F6"/>
    <w:rsid w:val="1A206975"/>
    <w:rsid w:val="1A2521DD"/>
    <w:rsid w:val="1A284B96"/>
    <w:rsid w:val="1A2D7493"/>
    <w:rsid w:val="1A3D757E"/>
    <w:rsid w:val="1A407B72"/>
    <w:rsid w:val="1A4F7085"/>
    <w:rsid w:val="1A510510"/>
    <w:rsid w:val="1A5A3C35"/>
    <w:rsid w:val="1A5D1524"/>
    <w:rsid w:val="1A5F749D"/>
    <w:rsid w:val="1A6A7BF0"/>
    <w:rsid w:val="1A6C5716"/>
    <w:rsid w:val="1A6E148E"/>
    <w:rsid w:val="1A7234B5"/>
    <w:rsid w:val="1A732F49"/>
    <w:rsid w:val="1A781261"/>
    <w:rsid w:val="1A7867B1"/>
    <w:rsid w:val="1A8A3DEE"/>
    <w:rsid w:val="1A8B4C12"/>
    <w:rsid w:val="1A951111"/>
    <w:rsid w:val="1A974E89"/>
    <w:rsid w:val="1AAB623F"/>
    <w:rsid w:val="1AB23474"/>
    <w:rsid w:val="1ABB774E"/>
    <w:rsid w:val="1AC30FF7"/>
    <w:rsid w:val="1AC6751C"/>
    <w:rsid w:val="1ACD08AB"/>
    <w:rsid w:val="1AD23694"/>
    <w:rsid w:val="1AD82DAC"/>
    <w:rsid w:val="1ADA4D76"/>
    <w:rsid w:val="1ADE6F90"/>
    <w:rsid w:val="1AFC2F3E"/>
    <w:rsid w:val="1B01734E"/>
    <w:rsid w:val="1B0A0589"/>
    <w:rsid w:val="1B124510"/>
    <w:rsid w:val="1B16306F"/>
    <w:rsid w:val="1B1726D8"/>
    <w:rsid w:val="1B195842"/>
    <w:rsid w:val="1B252495"/>
    <w:rsid w:val="1B302BE8"/>
    <w:rsid w:val="1B3A6A73"/>
    <w:rsid w:val="1B446693"/>
    <w:rsid w:val="1B4E6233"/>
    <w:rsid w:val="1B6A60FA"/>
    <w:rsid w:val="1B6C3EEB"/>
    <w:rsid w:val="1B7A3910"/>
    <w:rsid w:val="1B9C027D"/>
    <w:rsid w:val="1BA535D6"/>
    <w:rsid w:val="1BCB46BE"/>
    <w:rsid w:val="1BD224C6"/>
    <w:rsid w:val="1BD47A17"/>
    <w:rsid w:val="1BD93733"/>
    <w:rsid w:val="1BDD4B1E"/>
    <w:rsid w:val="1BE55780"/>
    <w:rsid w:val="1BFB2F24"/>
    <w:rsid w:val="1C0D38E3"/>
    <w:rsid w:val="1C0F4EF3"/>
    <w:rsid w:val="1C2325C0"/>
    <w:rsid w:val="1C485D0F"/>
    <w:rsid w:val="1C5A616E"/>
    <w:rsid w:val="1C5B7BB5"/>
    <w:rsid w:val="1C5E227A"/>
    <w:rsid w:val="1C632B49"/>
    <w:rsid w:val="1C654B13"/>
    <w:rsid w:val="1C6E69C5"/>
    <w:rsid w:val="1C755F23"/>
    <w:rsid w:val="1C7A05BE"/>
    <w:rsid w:val="1C7A236C"/>
    <w:rsid w:val="1C7B4336"/>
    <w:rsid w:val="1C7E49C0"/>
    <w:rsid w:val="1C7F2BE4"/>
    <w:rsid w:val="1C844F99"/>
    <w:rsid w:val="1C856F63"/>
    <w:rsid w:val="1C8B457A"/>
    <w:rsid w:val="1C8C20A0"/>
    <w:rsid w:val="1C9C0212"/>
    <w:rsid w:val="1CA4563B"/>
    <w:rsid w:val="1CAE1170"/>
    <w:rsid w:val="1CB262BE"/>
    <w:rsid w:val="1CBF3BD1"/>
    <w:rsid w:val="1CD06430"/>
    <w:rsid w:val="1CD37CCF"/>
    <w:rsid w:val="1CDD532E"/>
    <w:rsid w:val="1CE41EDC"/>
    <w:rsid w:val="1CF76F1E"/>
    <w:rsid w:val="1CFF0AC4"/>
    <w:rsid w:val="1D04432C"/>
    <w:rsid w:val="1D076C6C"/>
    <w:rsid w:val="1D100F23"/>
    <w:rsid w:val="1D1A7974"/>
    <w:rsid w:val="1D2404F5"/>
    <w:rsid w:val="1D2943B2"/>
    <w:rsid w:val="1D320E99"/>
    <w:rsid w:val="1D383FD6"/>
    <w:rsid w:val="1D3C5874"/>
    <w:rsid w:val="1D3F7112"/>
    <w:rsid w:val="1D44151A"/>
    <w:rsid w:val="1D6B7F07"/>
    <w:rsid w:val="1D6E79F7"/>
    <w:rsid w:val="1D722DB9"/>
    <w:rsid w:val="1D74500E"/>
    <w:rsid w:val="1D7E40DE"/>
    <w:rsid w:val="1D7F1C04"/>
    <w:rsid w:val="1D824DFF"/>
    <w:rsid w:val="1D925B43"/>
    <w:rsid w:val="1DAF077F"/>
    <w:rsid w:val="1DAF44E9"/>
    <w:rsid w:val="1DB16B71"/>
    <w:rsid w:val="1DC3177B"/>
    <w:rsid w:val="1DC92DDB"/>
    <w:rsid w:val="1DD106B2"/>
    <w:rsid w:val="1DE10CB9"/>
    <w:rsid w:val="1DE81558"/>
    <w:rsid w:val="1DF61EC7"/>
    <w:rsid w:val="1DFB128B"/>
    <w:rsid w:val="1E002D45"/>
    <w:rsid w:val="1E0579FF"/>
    <w:rsid w:val="1E18008F"/>
    <w:rsid w:val="1E193E07"/>
    <w:rsid w:val="1E1B36DB"/>
    <w:rsid w:val="1E285DF8"/>
    <w:rsid w:val="1E2C36CB"/>
    <w:rsid w:val="1E303CBB"/>
    <w:rsid w:val="1E32082C"/>
    <w:rsid w:val="1E3B1FCF"/>
    <w:rsid w:val="1E4F7829"/>
    <w:rsid w:val="1E524130"/>
    <w:rsid w:val="1E594203"/>
    <w:rsid w:val="1E73201D"/>
    <w:rsid w:val="1E7B5733"/>
    <w:rsid w:val="1E7B6870"/>
    <w:rsid w:val="1E853696"/>
    <w:rsid w:val="1E8A6AB3"/>
    <w:rsid w:val="1E8C4FA7"/>
    <w:rsid w:val="1E8F40C9"/>
    <w:rsid w:val="1E8F5E77"/>
    <w:rsid w:val="1E9B503E"/>
    <w:rsid w:val="1EA5569B"/>
    <w:rsid w:val="1EB00B88"/>
    <w:rsid w:val="1EB1403F"/>
    <w:rsid w:val="1EB37DB8"/>
    <w:rsid w:val="1EBA7398"/>
    <w:rsid w:val="1EBB4EBE"/>
    <w:rsid w:val="1EC02A83"/>
    <w:rsid w:val="1EC41FC5"/>
    <w:rsid w:val="1ECA689C"/>
    <w:rsid w:val="1ECB3353"/>
    <w:rsid w:val="1ECF44C6"/>
    <w:rsid w:val="1ED24993"/>
    <w:rsid w:val="1ED956F4"/>
    <w:rsid w:val="1EF74148"/>
    <w:rsid w:val="1F240CB5"/>
    <w:rsid w:val="1F2B2044"/>
    <w:rsid w:val="1F344FAE"/>
    <w:rsid w:val="1F372797"/>
    <w:rsid w:val="1F3D58D3"/>
    <w:rsid w:val="1F422EEA"/>
    <w:rsid w:val="1F531AAE"/>
    <w:rsid w:val="1F5C3FAB"/>
    <w:rsid w:val="1F6B0529"/>
    <w:rsid w:val="1F6B1A81"/>
    <w:rsid w:val="1F6E3CDF"/>
    <w:rsid w:val="1F811C64"/>
    <w:rsid w:val="1F930DA9"/>
    <w:rsid w:val="1F95570F"/>
    <w:rsid w:val="1F9C084C"/>
    <w:rsid w:val="1FA4264B"/>
    <w:rsid w:val="1FB40652"/>
    <w:rsid w:val="1FC442E8"/>
    <w:rsid w:val="1FCA53B9"/>
    <w:rsid w:val="1FD224BF"/>
    <w:rsid w:val="1FD91AA0"/>
    <w:rsid w:val="1FE13D1F"/>
    <w:rsid w:val="1FFB6845"/>
    <w:rsid w:val="20024252"/>
    <w:rsid w:val="200603BB"/>
    <w:rsid w:val="200C3C23"/>
    <w:rsid w:val="20166850"/>
    <w:rsid w:val="201E4818"/>
    <w:rsid w:val="203551F0"/>
    <w:rsid w:val="204A7953"/>
    <w:rsid w:val="204D2E0F"/>
    <w:rsid w:val="205630F0"/>
    <w:rsid w:val="205729C2"/>
    <w:rsid w:val="206E3CCA"/>
    <w:rsid w:val="207417C9"/>
    <w:rsid w:val="20785ECA"/>
    <w:rsid w:val="20817D3B"/>
    <w:rsid w:val="20825C93"/>
    <w:rsid w:val="20826AC0"/>
    <w:rsid w:val="2089707F"/>
    <w:rsid w:val="20CB487D"/>
    <w:rsid w:val="20D44A5E"/>
    <w:rsid w:val="20DE65FF"/>
    <w:rsid w:val="20E00F8F"/>
    <w:rsid w:val="20E3434E"/>
    <w:rsid w:val="20E92118"/>
    <w:rsid w:val="20EE4691"/>
    <w:rsid w:val="21025026"/>
    <w:rsid w:val="21076843"/>
    <w:rsid w:val="211424A6"/>
    <w:rsid w:val="21244F9D"/>
    <w:rsid w:val="21291321"/>
    <w:rsid w:val="212B00D9"/>
    <w:rsid w:val="212C2883"/>
    <w:rsid w:val="212E79D0"/>
    <w:rsid w:val="21342BF2"/>
    <w:rsid w:val="2148434A"/>
    <w:rsid w:val="21564C8B"/>
    <w:rsid w:val="21582E98"/>
    <w:rsid w:val="21586599"/>
    <w:rsid w:val="215F0A31"/>
    <w:rsid w:val="216655B5"/>
    <w:rsid w:val="21817CF9"/>
    <w:rsid w:val="218477E9"/>
    <w:rsid w:val="2185328A"/>
    <w:rsid w:val="21B70D77"/>
    <w:rsid w:val="21CF3CFA"/>
    <w:rsid w:val="21F26E49"/>
    <w:rsid w:val="21F52495"/>
    <w:rsid w:val="21F726B1"/>
    <w:rsid w:val="21FC7D2A"/>
    <w:rsid w:val="22010EFF"/>
    <w:rsid w:val="220B3A67"/>
    <w:rsid w:val="221F4AA3"/>
    <w:rsid w:val="22230B3A"/>
    <w:rsid w:val="222877A5"/>
    <w:rsid w:val="222A65E3"/>
    <w:rsid w:val="222C531E"/>
    <w:rsid w:val="223315EC"/>
    <w:rsid w:val="223E5BEA"/>
    <w:rsid w:val="22405E06"/>
    <w:rsid w:val="2254540E"/>
    <w:rsid w:val="22600256"/>
    <w:rsid w:val="22647DAA"/>
    <w:rsid w:val="22696423"/>
    <w:rsid w:val="226C6BFB"/>
    <w:rsid w:val="22837AA1"/>
    <w:rsid w:val="228E4DC3"/>
    <w:rsid w:val="229677D4"/>
    <w:rsid w:val="22A64E9D"/>
    <w:rsid w:val="22AB1A47"/>
    <w:rsid w:val="22AC524A"/>
    <w:rsid w:val="22B20386"/>
    <w:rsid w:val="22B74CD4"/>
    <w:rsid w:val="22B81E40"/>
    <w:rsid w:val="22B953CB"/>
    <w:rsid w:val="22BE6D2B"/>
    <w:rsid w:val="22C53FDD"/>
    <w:rsid w:val="22C75BE0"/>
    <w:rsid w:val="22D14CB0"/>
    <w:rsid w:val="22D16A5E"/>
    <w:rsid w:val="22D87DED"/>
    <w:rsid w:val="22DB168B"/>
    <w:rsid w:val="22E744D4"/>
    <w:rsid w:val="22F369D5"/>
    <w:rsid w:val="22F618BF"/>
    <w:rsid w:val="22F9015F"/>
    <w:rsid w:val="22FF181D"/>
    <w:rsid w:val="23056022"/>
    <w:rsid w:val="23072480"/>
    <w:rsid w:val="231876F8"/>
    <w:rsid w:val="231A0405"/>
    <w:rsid w:val="231F2BF7"/>
    <w:rsid w:val="2320618E"/>
    <w:rsid w:val="233F7B05"/>
    <w:rsid w:val="234C01C3"/>
    <w:rsid w:val="236E0751"/>
    <w:rsid w:val="23711FEF"/>
    <w:rsid w:val="23856095"/>
    <w:rsid w:val="238E4CA9"/>
    <w:rsid w:val="239A5886"/>
    <w:rsid w:val="23B91E81"/>
    <w:rsid w:val="23C12F77"/>
    <w:rsid w:val="23CE11F0"/>
    <w:rsid w:val="23D82229"/>
    <w:rsid w:val="23DF4417"/>
    <w:rsid w:val="23E12CD1"/>
    <w:rsid w:val="23EF1892"/>
    <w:rsid w:val="23FE1AD5"/>
    <w:rsid w:val="24012C4A"/>
    <w:rsid w:val="240422A6"/>
    <w:rsid w:val="24150BCD"/>
    <w:rsid w:val="2419690F"/>
    <w:rsid w:val="24221F69"/>
    <w:rsid w:val="24704055"/>
    <w:rsid w:val="249714A6"/>
    <w:rsid w:val="249D3CA8"/>
    <w:rsid w:val="249E6E14"/>
    <w:rsid w:val="249E79E7"/>
    <w:rsid w:val="24B228BF"/>
    <w:rsid w:val="24BA57BD"/>
    <w:rsid w:val="24C04FDC"/>
    <w:rsid w:val="24C465B4"/>
    <w:rsid w:val="24DC16EA"/>
    <w:rsid w:val="24F21825"/>
    <w:rsid w:val="24FA6740"/>
    <w:rsid w:val="24FB6014"/>
    <w:rsid w:val="24FE204D"/>
    <w:rsid w:val="24FF3D57"/>
    <w:rsid w:val="251A293E"/>
    <w:rsid w:val="251B0465"/>
    <w:rsid w:val="25276E09"/>
    <w:rsid w:val="252E1F46"/>
    <w:rsid w:val="255045B2"/>
    <w:rsid w:val="25565941"/>
    <w:rsid w:val="255B6CE4"/>
    <w:rsid w:val="255D0A7D"/>
    <w:rsid w:val="256A4F48"/>
    <w:rsid w:val="256E67E6"/>
    <w:rsid w:val="257302A1"/>
    <w:rsid w:val="258A2275"/>
    <w:rsid w:val="25922362"/>
    <w:rsid w:val="25950217"/>
    <w:rsid w:val="259C560D"/>
    <w:rsid w:val="259E5A69"/>
    <w:rsid w:val="25A62424"/>
    <w:rsid w:val="25A641D2"/>
    <w:rsid w:val="25B54415"/>
    <w:rsid w:val="25B616D1"/>
    <w:rsid w:val="25B777CB"/>
    <w:rsid w:val="25B83F05"/>
    <w:rsid w:val="25C96113"/>
    <w:rsid w:val="25CB4A7C"/>
    <w:rsid w:val="25CE197B"/>
    <w:rsid w:val="25D23219"/>
    <w:rsid w:val="25ED62DF"/>
    <w:rsid w:val="25F018F1"/>
    <w:rsid w:val="25F0544D"/>
    <w:rsid w:val="25FF7D86"/>
    <w:rsid w:val="2606762F"/>
    <w:rsid w:val="26127ABA"/>
    <w:rsid w:val="26165B0A"/>
    <w:rsid w:val="261C4820"/>
    <w:rsid w:val="26215F4F"/>
    <w:rsid w:val="2624159B"/>
    <w:rsid w:val="262A45BC"/>
    <w:rsid w:val="26372AE7"/>
    <w:rsid w:val="263E1A43"/>
    <w:rsid w:val="264372DB"/>
    <w:rsid w:val="2646567F"/>
    <w:rsid w:val="264F486A"/>
    <w:rsid w:val="26526108"/>
    <w:rsid w:val="26557078"/>
    <w:rsid w:val="26591245"/>
    <w:rsid w:val="265C6F87"/>
    <w:rsid w:val="266F4A63"/>
    <w:rsid w:val="26935EEA"/>
    <w:rsid w:val="26946721"/>
    <w:rsid w:val="26962499"/>
    <w:rsid w:val="26A12BEB"/>
    <w:rsid w:val="26A61FB0"/>
    <w:rsid w:val="26A85D28"/>
    <w:rsid w:val="26B03D8A"/>
    <w:rsid w:val="26B97F35"/>
    <w:rsid w:val="26BB1EFF"/>
    <w:rsid w:val="26C02050"/>
    <w:rsid w:val="26D11723"/>
    <w:rsid w:val="26DD00C8"/>
    <w:rsid w:val="26ED7BDF"/>
    <w:rsid w:val="26F23447"/>
    <w:rsid w:val="27027B2E"/>
    <w:rsid w:val="270E31FC"/>
    <w:rsid w:val="27110D7B"/>
    <w:rsid w:val="27117D71"/>
    <w:rsid w:val="27194E78"/>
    <w:rsid w:val="27247CF0"/>
    <w:rsid w:val="272C2823"/>
    <w:rsid w:val="27311B46"/>
    <w:rsid w:val="27392E24"/>
    <w:rsid w:val="273D0B66"/>
    <w:rsid w:val="273F77DF"/>
    <w:rsid w:val="2742617D"/>
    <w:rsid w:val="27435A51"/>
    <w:rsid w:val="27465F66"/>
    <w:rsid w:val="274E5503"/>
    <w:rsid w:val="27573B0A"/>
    <w:rsid w:val="275A1718"/>
    <w:rsid w:val="275C2BD9"/>
    <w:rsid w:val="277125BE"/>
    <w:rsid w:val="27786F46"/>
    <w:rsid w:val="277A3B68"/>
    <w:rsid w:val="277B343D"/>
    <w:rsid w:val="27871DE1"/>
    <w:rsid w:val="27985D9D"/>
    <w:rsid w:val="279A1B15"/>
    <w:rsid w:val="27A429F4"/>
    <w:rsid w:val="27A74232"/>
    <w:rsid w:val="27BB1EDC"/>
    <w:rsid w:val="27BB38A3"/>
    <w:rsid w:val="27C76682"/>
    <w:rsid w:val="27C92CE4"/>
    <w:rsid w:val="27D535C4"/>
    <w:rsid w:val="27D55EAB"/>
    <w:rsid w:val="27DD42C3"/>
    <w:rsid w:val="27E56B08"/>
    <w:rsid w:val="27F537F7"/>
    <w:rsid w:val="27F54F9D"/>
    <w:rsid w:val="28062594"/>
    <w:rsid w:val="28086EC5"/>
    <w:rsid w:val="280A0EE5"/>
    <w:rsid w:val="281127FC"/>
    <w:rsid w:val="282B09BF"/>
    <w:rsid w:val="28302188"/>
    <w:rsid w:val="28302479"/>
    <w:rsid w:val="28341F69"/>
    <w:rsid w:val="284303FE"/>
    <w:rsid w:val="2858552C"/>
    <w:rsid w:val="285C5082"/>
    <w:rsid w:val="28773C04"/>
    <w:rsid w:val="288307FB"/>
    <w:rsid w:val="28844573"/>
    <w:rsid w:val="288822B5"/>
    <w:rsid w:val="28935801"/>
    <w:rsid w:val="289E5635"/>
    <w:rsid w:val="28A30E9D"/>
    <w:rsid w:val="28A5056B"/>
    <w:rsid w:val="28A528F4"/>
    <w:rsid w:val="28AA7033"/>
    <w:rsid w:val="28AC47B0"/>
    <w:rsid w:val="28AF7842"/>
    <w:rsid w:val="28B34291"/>
    <w:rsid w:val="28B60BD0"/>
    <w:rsid w:val="28B9246E"/>
    <w:rsid w:val="28C46AF8"/>
    <w:rsid w:val="28CD6290"/>
    <w:rsid w:val="28DB5305"/>
    <w:rsid w:val="28E03E9F"/>
    <w:rsid w:val="28E560A6"/>
    <w:rsid w:val="28F27DA1"/>
    <w:rsid w:val="29177195"/>
    <w:rsid w:val="29183639"/>
    <w:rsid w:val="291C2CCB"/>
    <w:rsid w:val="292C7C40"/>
    <w:rsid w:val="294A756A"/>
    <w:rsid w:val="294D2BB7"/>
    <w:rsid w:val="295E4177"/>
    <w:rsid w:val="29600B3C"/>
    <w:rsid w:val="2967011C"/>
    <w:rsid w:val="296B041C"/>
    <w:rsid w:val="297851BA"/>
    <w:rsid w:val="29846110"/>
    <w:rsid w:val="298C4017"/>
    <w:rsid w:val="29A0718A"/>
    <w:rsid w:val="29A547A1"/>
    <w:rsid w:val="29C443F0"/>
    <w:rsid w:val="29C4731D"/>
    <w:rsid w:val="29CE1F49"/>
    <w:rsid w:val="29E7300B"/>
    <w:rsid w:val="29FC0459"/>
    <w:rsid w:val="29FC6AB7"/>
    <w:rsid w:val="29FD282F"/>
    <w:rsid w:val="2A0753AC"/>
    <w:rsid w:val="2A0911D4"/>
    <w:rsid w:val="2A094D30"/>
    <w:rsid w:val="2A0E0598"/>
    <w:rsid w:val="2A1262DA"/>
    <w:rsid w:val="2A1831C5"/>
    <w:rsid w:val="2A1E42BD"/>
    <w:rsid w:val="2A20167B"/>
    <w:rsid w:val="2A284AB8"/>
    <w:rsid w:val="2A2878AC"/>
    <w:rsid w:val="2A2953D2"/>
    <w:rsid w:val="2A2A01DD"/>
    <w:rsid w:val="2A377AEF"/>
    <w:rsid w:val="2A426008"/>
    <w:rsid w:val="2A4A3883"/>
    <w:rsid w:val="2A622692"/>
    <w:rsid w:val="2A6401B8"/>
    <w:rsid w:val="2A6C52BE"/>
    <w:rsid w:val="2A6D3510"/>
    <w:rsid w:val="2A7C7BF7"/>
    <w:rsid w:val="2A8011A6"/>
    <w:rsid w:val="2A830F86"/>
    <w:rsid w:val="2A831BEC"/>
    <w:rsid w:val="2AA1765E"/>
    <w:rsid w:val="2AB36911"/>
    <w:rsid w:val="2ABA4B57"/>
    <w:rsid w:val="2ABC1DA2"/>
    <w:rsid w:val="2AC63F23"/>
    <w:rsid w:val="2ADB2F73"/>
    <w:rsid w:val="2AE337D3"/>
    <w:rsid w:val="2AF14141"/>
    <w:rsid w:val="2AF53506"/>
    <w:rsid w:val="2AF91248"/>
    <w:rsid w:val="2AFA0B1C"/>
    <w:rsid w:val="2AFE4C12"/>
    <w:rsid w:val="2B182BC8"/>
    <w:rsid w:val="2B373B1E"/>
    <w:rsid w:val="2B410165"/>
    <w:rsid w:val="2B4413A5"/>
    <w:rsid w:val="2B471FB3"/>
    <w:rsid w:val="2B4C581C"/>
    <w:rsid w:val="2B4E5917"/>
    <w:rsid w:val="2B5701A4"/>
    <w:rsid w:val="2B595843"/>
    <w:rsid w:val="2B5A089E"/>
    <w:rsid w:val="2B5E10AB"/>
    <w:rsid w:val="2B936FA7"/>
    <w:rsid w:val="2B977810"/>
    <w:rsid w:val="2B9B2E16"/>
    <w:rsid w:val="2BA016C4"/>
    <w:rsid w:val="2BA271EA"/>
    <w:rsid w:val="2BA27AE7"/>
    <w:rsid w:val="2BB60EE7"/>
    <w:rsid w:val="2BB67139"/>
    <w:rsid w:val="2BBD4024"/>
    <w:rsid w:val="2BC021CD"/>
    <w:rsid w:val="2BC90C1A"/>
    <w:rsid w:val="2BD05DC9"/>
    <w:rsid w:val="2BDE3F9A"/>
    <w:rsid w:val="2BE772F2"/>
    <w:rsid w:val="2BEC5DC4"/>
    <w:rsid w:val="2BEE4061"/>
    <w:rsid w:val="2BFB60A5"/>
    <w:rsid w:val="2C0734F1"/>
    <w:rsid w:val="2C0A058B"/>
    <w:rsid w:val="2C0A7B0A"/>
    <w:rsid w:val="2C2C6E4C"/>
    <w:rsid w:val="2C354FF3"/>
    <w:rsid w:val="2C444745"/>
    <w:rsid w:val="2C6047D9"/>
    <w:rsid w:val="2C6941AB"/>
    <w:rsid w:val="2C7212B2"/>
    <w:rsid w:val="2C723060"/>
    <w:rsid w:val="2C7303F6"/>
    <w:rsid w:val="2C7C10B3"/>
    <w:rsid w:val="2C7C7A3B"/>
    <w:rsid w:val="2C7F752B"/>
    <w:rsid w:val="2C8132A3"/>
    <w:rsid w:val="2C832546"/>
    <w:rsid w:val="2C863D90"/>
    <w:rsid w:val="2C877955"/>
    <w:rsid w:val="2CAD5E46"/>
    <w:rsid w:val="2CBD0053"/>
    <w:rsid w:val="2CC67F94"/>
    <w:rsid w:val="2CCE0F06"/>
    <w:rsid w:val="2CCF04B2"/>
    <w:rsid w:val="2CF9108B"/>
    <w:rsid w:val="2CF9552F"/>
    <w:rsid w:val="2D0D4B37"/>
    <w:rsid w:val="2D102879"/>
    <w:rsid w:val="2D2C013C"/>
    <w:rsid w:val="2D42636F"/>
    <w:rsid w:val="2D50336C"/>
    <w:rsid w:val="2D5062DB"/>
    <w:rsid w:val="2D5B2C7A"/>
    <w:rsid w:val="2D6230D5"/>
    <w:rsid w:val="2DA2548D"/>
    <w:rsid w:val="2DA45132"/>
    <w:rsid w:val="2DA76D39"/>
    <w:rsid w:val="2DB256DE"/>
    <w:rsid w:val="2DB75639"/>
    <w:rsid w:val="2DC32074"/>
    <w:rsid w:val="2DD37B2E"/>
    <w:rsid w:val="2DD438A6"/>
    <w:rsid w:val="2DD820D2"/>
    <w:rsid w:val="2DED326B"/>
    <w:rsid w:val="2DED6716"/>
    <w:rsid w:val="2DEE1B93"/>
    <w:rsid w:val="2DFF6B75"/>
    <w:rsid w:val="2E0C3040"/>
    <w:rsid w:val="2E1C6EB2"/>
    <w:rsid w:val="2E247BB1"/>
    <w:rsid w:val="2E310CF9"/>
    <w:rsid w:val="2E3439FD"/>
    <w:rsid w:val="2E3F6F72"/>
    <w:rsid w:val="2E4F77B2"/>
    <w:rsid w:val="2E505623"/>
    <w:rsid w:val="2E5457C2"/>
    <w:rsid w:val="2E6966E5"/>
    <w:rsid w:val="2E6A1A66"/>
    <w:rsid w:val="2E6A7D67"/>
    <w:rsid w:val="2E83112C"/>
    <w:rsid w:val="2E84707B"/>
    <w:rsid w:val="2E862DF3"/>
    <w:rsid w:val="2E8931DB"/>
    <w:rsid w:val="2E990003"/>
    <w:rsid w:val="2E9B28E0"/>
    <w:rsid w:val="2EA32D57"/>
    <w:rsid w:val="2EAB2B4B"/>
    <w:rsid w:val="2EAE40F8"/>
    <w:rsid w:val="2EB35FF4"/>
    <w:rsid w:val="2EB656B2"/>
    <w:rsid w:val="2EC21951"/>
    <w:rsid w:val="2EC23D6E"/>
    <w:rsid w:val="2EC61441"/>
    <w:rsid w:val="2ECD6C74"/>
    <w:rsid w:val="2ED7364E"/>
    <w:rsid w:val="2EE1627B"/>
    <w:rsid w:val="2EE23DA1"/>
    <w:rsid w:val="2EE95130"/>
    <w:rsid w:val="2EEE0998"/>
    <w:rsid w:val="2EF6678C"/>
    <w:rsid w:val="2EF91817"/>
    <w:rsid w:val="2EFA00F2"/>
    <w:rsid w:val="2EFF5AA4"/>
    <w:rsid w:val="2F0C256B"/>
    <w:rsid w:val="2F0E4FE6"/>
    <w:rsid w:val="2F10090E"/>
    <w:rsid w:val="2F2D14C0"/>
    <w:rsid w:val="2F2E51C6"/>
    <w:rsid w:val="2F3960B7"/>
    <w:rsid w:val="2F430CE4"/>
    <w:rsid w:val="2F436F36"/>
    <w:rsid w:val="2F48454C"/>
    <w:rsid w:val="2F4C6F09"/>
    <w:rsid w:val="2F4D045F"/>
    <w:rsid w:val="2F656EAC"/>
    <w:rsid w:val="2F68699C"/>
    <w:rsid w:val="2F703C2A"/>
    <w:rsid w:val="2F740E9D"/>
    <w:rsid w:val="2F7747B2"/>
    <w:rsid w:val="2F7F4AC3"/>
    <w:rsid w:val="2F8310E0"/>
    <w:rsid w:val="2F874200"/>
    <w:rsid w:val="2F8D1F5F"/>
    <w:rsid w:val="2F917CA1"/>
    <w:rsid w:val="2F996B56"/>
    <w:rsid w:val="2F9A4961"/>
    <w:rsid w:val="2FAB0637"/>
    <w:rsid w:val="2FAF6884"/>
    <w:rsid w:val="2FB971F8"/>
    <w:rsid w:val="2FBE0565"/>
    <w:rsid w:val="2FED29FE"/>
    <w:rsid w:val="2FEE6EA1"/>
    <w:rsid w:val="2FFB15BE"/>
    <w:rsid w:val="2FFE4C0B"/>
    <w:rsid w:val="300761B5"/>
    <w:rsid w:val="30197C97"/>
    <w:rsid w:val="301B756B"/>
    <w:rsid w:val="3025663B"/>
    <w:rsid w:val="304B480C"/>
    <w:rsid w:val="305D7B83"/>
    <w:rsid w:val="305E2987"/>
    <w:rsid w:val="3069477A"/>
    <w:rsid w:val="306A7496"/>
    <w:rsid w:val="30791D1C"/>
    <w:rsid w:val="307B4F04"/>
    <w:rsid w:val="307D0225"/>
    <w:rsid w:val="308D19DE"/>
    <w:rsid w:val="30992B52"/>
    <w:rsid w:val="30A77050"/>
    <w:rsid w:val="30AC5E72"/>
    <w:rsid w:val="30B214BF"/>
    <w:rsid w:val="30B22218"/>
    <w:rsid w:val="30B7132A"/>
    <w:rsid w:val="30BF439A"/>
    <w:rsid w:val="30CE25D8"/>
    <w:rsid w:val="30DC1FAE"/>
    <w:rsid w:val="30E402A4"/>
    <w:rsid w:val="30E725E9"/>
    <w:rsid w:val="30E96EA4"/>
    <w:rsid w:val="30EE2ED1"/>
    <w:rsid w:val="30F0369B"/>
    <w:rsid w:val="310B75DF"/>
    <w:rsid w:val="310F7EF8"/>
    <w:rsid w:val="311428EF"/>
    <w:rsid w:val="31196C75"/>
    <w:rsid w:val="311F752F"/>
    <w:rsid w:val="312C1162"/>
    <w:rsid w:val="31411253"/>
    <w:rsid w:val="31466CA2"/>
    <w:rsid w:val="31485DEC"/>
    <w:rsid w:val="314F3970"/>
    <w:rsid w:val="3150593A"/>
    <w:rsid w:val="31611EE2"/>
    <w:rsid w:val="316136A3"/>
    <w:rsid w:val="3173397F"/>
    <w:rsid w:val="31772165"/>
    <w:rsid w:val="31784322"/>
    <w:rsid w:val="317C228B"/>
    <w:rsid w:val="31806095"/>
    <w:rsid w:val="31815AF3"/>
    <w:rsid w:val="3188570D"/>
    <w:rsid w:val="318A2BFA"/>
    <w:rsid w:val="318F0A86"/>
    <w:rsid w:val="319121DA"/>
    <w:rsid w:val="3191525C"/>
    <w:rsid w:val="31A0562C"/>
    <w:rsid w:val="31A55C86"/>
    <w:rsid w:val="31AB2B70"/>
    <w:rsid w:val="31B23EFF"/>
    <w:rsid w:val="31BB7257"/>
    <w:rsid w:val="31BF03CC"/>
    <w:rsid w:val="31CC113B"/>
    <w:rsid w:val="31CF685F"/>
    <w:rsid w:val="31D125D7"/>
    <w:rsid w:val="31D75713"/>
    <w:rsid w:val="31DA5525"/>
    <w:rsid w:val="31DE4CF4"/>
    <w:rsid w:val="31E700F2"/>
    <w:rsid w:val="31EC4815"/>
    <w:rsid w:val="31ED4F37"/>
    <w:rsid w:val="31F75DB5"/>
    <w:rsid w:val="32024E86"/>
    <w:rsid w:val="32353BBC"/>
    <w:rsid w:val="323668DE"/>
    <w:rsid w:val="323F3157"/>
    <w:rsid w:val="32424EBA"/>
    <w:rsid w:val="324D513A"/>
    <w:rsid w:val="32537490"/>
    <w:rsid w:val="325E65E3"/>
    <w:rsid w:val="326276D3"/>
    <w:rsid w:val="326521F1"/>
    <w:rsid w:val="32677B4E"/>
    <w:rsid w:val="326C2300"/>
    <w:rsid w:val="32731A31"/>
    <w:rsid w:val="32795BA3"/>
    <w:rsid w:val="329377CE"/>
    <w:rsid w:val="32943604"/>
    <w:rsid w:val="32963820"/>
    <w:rsid w:val="32990C1B"/>
    <w:rsid w:val="3299549E"/>
    <w:rsid w:val="329A50BF"/>
    <w:rsid w:val="32A4561D"/>
    <w:rsid w:val="32B0236D"/>
    <w:rsid w:val="32C75B75"/>
    <w:rsid w:val="32E97DF4"/>
    <w:rsid w:val="32FD7867"/>
    <w:rsid w:val="33114C55"/>
    <w:rsid w:val="331203D7"/>
    <w:rsid w:val="331210F9"/>
    <w:rsid w:val="331F7372"/>
    <w:rsid w:val="33260700"/>
    <w:rsid w:val="33265EB1"/>
    <w:rsid w:val="332B527B"/>
    <w:rsid w:val="33300914"/>
    <w:rsid w:val="3339002B"/>
    <w:rsid w:val="33484B1B"/>
    <w:rsid w:val="33490893"/>
    <w:rsid w:val="334E65BD"/>
    <w:rsid w:val="335334BF"/>
    <w:rsid w:val="33543749"/>
    <w:rsid w:val="33633703"/>
    <w:rsid w:val="33765F6E"/>
    <w:rsid w:val="3381002D"/>
    <w:rsid w:val="33833DA5"/>
    <w:rsid w:val="33836B85"/>
    <w:rsid w:val="33970A31"/>
    <w:rsid w:val="33A9752F"/>
    <w:rsid w:val="33AC0EBC"/>
    <w:rsid w:val="33AD1987"/>
    <w:rsid w:val="33B421B0"/>
    <w:rsid w:val="33C85C5B"/>
    <w:rsid w:val="33D4015C"/>
    <w:rsid w:val="33D60378"/>
    <w:rsid w:val="33F4348F"/>
    <w:rsid w:val="340439AB"/>
    <w:rsid w:val="340D366E"/>
    <w:rsid w:val="340E0E50"/>
    <w:rsid w:val="34161EC7"/>
    <w:rsid w:val="34367069"/>
    <w:rsid w:val="3439114E"/>
    <w:rsid w:val="344A48C2"/>
    <w:rsid w:val="345532F9"/>
    <w:rsid w:val="34605E94"/>
    <w:rsid w:val="3465287C"/>
    <w:rsid w:val="34735BC7"/>
    <w:rsid w:val="347436ED"/>
    <w:rsid w:val="347B0F20"/>
    <w:rsid w:val="347C69BB"/>
    <w:rsid w:val="347E1073"/>
    <w:rsid w:val="348A144B"/>
    <w:rsid w:val="348E7D21"/>
    <w:rsid w:val="34A42225"/>
    <w:rsid w:val="34AF4725"/>
    <w:rsid w:val="34D64BD7"/>
    <w:rsid w:val="34D85CE0"/>
    <w:rsid w:val="34DF325D"/>
    <w:rsid w:val="34E0788F"/>
    <w:rsid w:val="350169B8"/>
    <w:rsid w:val="35077D78"/>
    <w:rsid w:val="35223149"/>
    <w:rsid w:val="352C5D76"/>
    <w:rsid w:val="354632DC"/>
    <w:rsid w:val="35535C24"/>
    <w:rsid w:val="35544F7E"/>
    <w:rsid w:val="3558300F"/>
    <w:rsid w:val="355A28E3"/>
    <w:rsid w:val="357065AB"/>
    <w:rsid w:val="35754B3B"/>
    <w:rsid w:val="35847960"/>
    <w:rsid w:val="35856427"/>
    <w:rsid w:val="3589141A"/>
    <w:rsid w:val="35957DBF"/>
    <w:rsid w:val="35A149B6"/>
    <w:rsid w:val="35A25BA4"/>
    <w:rsid w:val="35A448A0"/>
    <w:rsid w:val="35A846DB"/>
    <w:rsid w:val="35AA123E"/>
    <w:rsid w:val="35D71D27"/>
    <w:rsid w:val="35DB1217"/>
    <w:rsid w:val="35DC6C95"/>
    <w:rsid w:val="35E0728C"/>
    <w:rsid w:val="35E6686D"/>
    <w:rsid w:val="35F665EB"/>
    <w:rsid w:val="35F72828"/>
    <w:rsid w:val="36010FB1"/>
    <w:rsid w:val="361909F0"/>
    <w:rsid w:val="362B4280"/>
    <w:rsid w:val="362E77B0"/>
    <w:rsid w:val="363B0967"/>
    <w:rsid w:val="364036B3"/>
    <w:rsid w:val="364650AE"/>
    <w:rsid w:val="36505FD8"/>
    <w:rsid w:val="36541A28"/>
    <w:rsid w:val="365A50F5"/>
    <w:rsid w:val="36656D92"/>
    <w:rsid w:val="368213DC"/>
    <w:rsid w:val="368340BC"/>
    <w:rsid w:val="369F4384"/>
    <w:rsid w:val="36A2092F"/>
    <w:rsid w:val="36A47DCD"/>
    <w:rsid w:val="36A54032"/>
    <w:rsid w:val="36A56EC5"/>
    <w:rsid w:val="36C46BAE"/>
    <w:rsid w:val="36C94D6E"/>
    <w:rsid w:val="36D36DF1"/>
    <w:rsid w:val="36D55FF0"/>
    <w:rsid w:val="36DB5CA6"/>
    <w:rsid w:val="36DD1A1E"/>
    <w:rsid w:val="36DD557A"/>
    <w:rsid w:val="36E17299"/>
    <w:rsid w:val="36EF011F"/>
    <w:rsid w:val="36F154C9"/>
    <w:rsid w:val="3701395E"/>
    <w:rsid w:val="370E7E29"/>
    <w:rsid w:val="372155E1"/>
    <w:rsid w:val="37270EEB"/>
    <w:rsid w:val="37333967"/>
    <w:rsid w:val="37500442"/>
    <w:rsid w:val="375515B4"/>
    <w:rsid w:val="37557C98"/>
    <w:rsid w:val="375F3A1B"/>
    <w:rsid w:val="375F68D7"/>
    <w:rsid w:val="37607FFA"/>
    <w:rsid w:val="376501D8"/>
    <w:rsid w:val="376B702A"/>
    <w:rsid w:val="37824373"/>
    <w:rsid w:val="379A72F5"/>
    <w:rsid w:val="37A02A7E"/>
    <w:rsid w:val="37AE4336"/>
    <w:rsid w:val="37AE65B9"/>
    <w:rsid w:val="37BC5AD7"/>
    <w:rsid w:val="37C130EE"/>
    <w:rsid w:val="37C60704"/>
    <w:rsid w:val="37CB1876"/>
    <w:rsid w:val="37CC393A"/>
    <w:rsid w:val="37D921E5"/>
    <w:rsid w:val="37E961A0"/>
    <w:rsid w:val="37F214F9"/>
    <w:rsid w:val="37F60FE9"/>
    <w:rsid w:val="381551E7"/>
    <w:rsid w:val="38213B8C"/>
    <w:rsid w:val="38233460"/>
    <w:rsid w:val="38341B11"/>
    <w:rsid w:val="383E025E"/>
    <w:rsid w:val="384B29B7"/>
    <w:rsid w:val="38540302"/>
    <w:rsid w:val="385B52F0"/>
    <w:rsid w:val="386003DB"/>
    <w:rsid w:val="386E7864"/>
    <w:rsid w:val="387262AB"/>
    <w:rsid w:val="38797BC7"/>
    <w:rsid w:val="389023FE"/>
    <w:rsid w:val="38902797"/>
    <w:rsid w:val="389A39DF"/>
    <w:rsid w:val="38A05CDD"/>
    <w:rsid w:val="38B059AF"/>
    <w:rsid w:val="38B44A00"/>
    <w:rsid w:val="38B467AE"/>
    <w:rsid w:val="38CF5396"/>
    <w:rsid w:val="38EB7BBE"/>
    <w:rsid w:val="3902751A"/>
    <w:rsid w:val="390C2146"/>
    <w:rsid w:val="39107AB9"/>
    <w:rsid w:val="39175CF7"/>
    <w:rsid w:val="391F2846"/>
    <w:rsid w:val="392B4CC2"/>
    <w:rsid w:val="393F076E"/>
    <w:rsid w:val="39442F6D"/>
    <w:rsid w:val="394960CA"/>
    <w:rsid w:val="394A0955"/>
    <w:rsid w:val="394F567C"/>
    <w:rsid w:val="395C6094"/>
    <w:rsid w:val="396F26D5"/>
    <w:rsid w:val="39706B79"/>
    <w:rsid w:val="3975265C"/>
    <w:rsid w:val="397C0E7A"/>
    <w:rsid w:val="398E6FFF"/>
    <w:rsid w:val="39961E8F"/>
    <w:rsid w:val="39981C2C"/>
    <w:rsid w:val="39A71E6F"/>
    <w:rsid w:val="39AE76A2"/>
    <w:rsid w:val="39C2468F"/>
    <w:rsid w:val="39C708D6"/>
    <w:rsid w:val="39CE666A"/>
    <w:rsid w:val="39D709A6"/>
    <w:rsid w:val="3A0563FD"/>
    <w:rsid w:val="3A07574C"/>
    <w:rsid w:val="3A192352"/>
    <w:rsid w:val="3A225796"/>
    <w:rsid w:val="3A2D5DD8"/>
    <w:rsid w:val="3A405662"/>
    <w:rsid w:val="3A465B2C"/>
    <w:rsid w:val="3A4B6C9E"/>
    <w:rsid w:val="3A4C6E4A"/>
    <w:rsid w:val="3A527660"/>
    <w:rsid w:val="3A557B1D"/>
    <w:rsid w:val="3A5C0EAC"/>
    <w:rsid w:val="3A654204"/>
    <w:rsid w:val="3A6D19D7"/>
    <w:rsid w:val="3A786EEF"/>
    <w:rsid w:val="3A797CAF"/>
    <w:rsid w:val="3A817B52"/>
    <w:rsid w:val="3A83476E"/>
    <w:rsid w:val="3A856654"/>
    <w:rsid w:val="3A946897"/>
    <w:rsid w:val="3AAD1707"/>
    <w:rsid w:val="3AAF36D1"/>
    <w:rsid w:val="3AB331C1"/>
    <w:rsid w:val="3AB40CE8"/>
    <w:rsid w:val="3AB714A0"/>
    <w:rsid w:val="3AB810E4"/>
    <w:rsid w:val="3ABC6A86"/>
    <w:rsid w:val="3ADB0022"/>
    <w:rsid w:val="3ADE3FB6"/>
    <w:rsid w:val="3AF44990"/>
    <w:rsid w:val="3AF72C4B"/>
    <w:rsid w:val="3AF8123D"/>
    <w:rsid w:val="3B021A53"/>
    <w:rsid w:val="3B251346"/>
    <w:rsid w:val="3B2C2F74"/>
    <w:rsid w:val="3B2E078C"/>
    <w:rsid w:val="3B3A743F"/>
    <w:rsid w:val="3B4958D4"/>
    <w:rsid w:val="3B506AC1"/>
    <w:rsid w:val="3B5D49FC"/>
    <w:rsid w:val="3B6A75F8"/>
    <w:rsid w:val="3B776031"/>
    <w:rsid w:val="3B7A783B"/>
    <w:rsid w:val="3B7C2623"/>
    <w:rsid w:val="3B7D06B1"/>
    <w:rsid w:val="3B7D4A60"/>
    <w:rsid w:val="3B815811"/>
    <w:rsid w:val="3B842468"/>
    <w:rsid w:val="3B8955E5"/>
    <w:rsid w:val="3B8B23F7"/>
    <w:rsid w:val="3B981740"/>
    <w:rsid w:val="3B9B4470"/>
    <w:rsid w:val="3BAF7702"/>
    <w:rsid w:val="3BBB7E54"/>
    <w:rsid w:val="3BBE3382"/>
    <w:rsid w:val="3BC05242"/>
    <w:rsid w:val="3BC211E2"/>
    <w:rsid w:val="3BC36F34"/>
    <w:rsid w:val="3BCC2061"/>
    <w:rsid w:val="3BD41D80"/>
    <w:rsid w:val="3BD8775C"/>
    <w:rsid w:val="3BDA29D0"/>
    <w:rsid w:val="3BDD7DCA"/>
    <w:rsid w:val="3BE50049"/>
    <w:rsid w:val="3BE71B18"/>
    <w:rsid w:val="3BED4AD3"/>
    <w:rsid w:val="3BF33A92"/>
    <w:rsid w:val="3BFD221A"/>
    <w:rsid w:val="3C0637C5"/>
    <w:rsid w:val="3C136B1F"/>
    <w:rsid w:val="3C236125"/>
    <w:rsid w:val="3C28373B"/>
    <w:rsid w:val="3C291261"/>
    <w:rsid w:val="3C3E033D"/>
    <w:rsid w:val="3C411C43"/>
    <w:rsid w:val="3C4A2868"/>
    <w:rsid w:val="3C5938F5"/>
    <w:rsid w:val="3C5E0F0B"/>
    <w:rsid w:val="3C681D8A"/>
    <w:rsid w:val="3C735FD2"/>
    <w:rsid w:val="3C804CE6"/>
    <w:rsid w:val="3C8D17F0"/>
    <w:rsid w:val="3C9B35EA"/>
    <w:rsid w:val="3C9E1C4F"/>
    <w:rsid w:val="3CA458F1"/>
    <w:rsid w:val="3CAF1767"/>
    <w:rsid w:val="3CBD0327"/>
    <w:rsid w:val="3CCA2A44"/>
    <w:rsid w:val="3CCA65A0"/>
    <w:rsid w:val="3CCF1E09"/>
    <w:rsid w:val="3CD10789"/>
    <w:rsid w:val="3CD710A5"/>
    <w:rsid w:val="3CE27D8E"/>
    <w:rsid w:val="3CF95FF8"/>
    <w:rsid w:val="3D0575F4"/>
    <w:rsid w:val="3D2008B6"/>
    <w:rsid w:val="3D244EC3"/>
    <w:rsid w:val="3D267313"/>
    <w:rsid w:val="3D2739F3"/>
    <w:rsid w:val="3D2832C7"/>
    <w:rsid w:val="3D356853"/>
    <w:rsid w:val="3D485717"/>
    <w:rsid w:val="3D4A5933"/>
    <w:rsid w:val="3D5F318D"/>
    <w:rsid w:val="3D5F78E9"/>
    <w:rsid w:val="3D614831"/>
    <w:rsid w:val="3D6D0448"/>
    <w:rsid w:val="3D864BBD"/>
    <w:rsid w:val="3D99735A"/>
    <w:rsid w:val="3DA45A8A"/>
    <w:rsid w:val="3DAE6CEE"/>
    <w:rsid w:val="3DAE7C70"/>
    <w:rsid w:val="3DB334D8"/>
    <w:rsid w:val="3DBA42C7"/>
    <w:rsid w:val="3DD05E38"/>
    <w:rsid w:val="3DDA6CB7"/>
    <w:rsid w:val="3DFC6C2D"/>
    <w:rsid w:val="3E077380"/>
    <w:rsid w:val="3E0D08A8"/>
    <w:rsid w:val="3E0E1625"/>
    <w:rsid w:val="3E186008"/>
    <w:rsid w:val="3E241CE0"/>
    <w:rsid w:val="3E395AD5"/>
    <w:rsid w:val="3E4D3F96"/>
    <w:rsid w:val="3E4E5942"/>
    <w:rsid w:val="3E50367C"/>
    <w:rsid w:val="3E5266A7"/>
    <w:rsid w:val="3E542340"/>
    <w:rsid w:val="3E555E84"/>
    <w:rsid w:val="3E675B3A"/>
    <w:rsid w:val="3E7013C9"/>
    <w:rsid w:val="3E7E67B0"/>
    <w:rsid w:val="3E7E7642"/>
    <w:rsid w:val="3E860BED"/>
    <w:rsid w:val="3E8D1F7B"/>
    <w:rsid w:val="3E9D5E92"/>
    <w:rsid w:val="3EA07EA6"/>
    <w:rsid w:val="3EB32D81"/>
    <w:rsid w:val="3EB5521B"/>
    <w:rsid w:val="3EBC46BB"/>
    <w:rsid w:val="3EBE2135"/>
    <w:rsid w:val="3EC142E0"/>
    <w:rsid w:val="3ECA0ADA"/>
    <w:rsid w:val="3EDF3E59"/>
    <w:rsid w:val="3EE31B9B"/>
    <w:rsid w:val="3EE33949"/>
    <w:rsid w:val="3EE56763"/>
    <w:rsid w:val="3EEF1401"/>
    <w:rsid w:val="3EF1250A"/>
    <w:rsid w:val="3F011666"/>
    <w:rsid w:val="3F0A35CC"/>
    <w:rsid w:val="3F0C10F2"/>
    <w:rsid w:val="3F0D09C6"/>
    <w:rsid w:val="3F121F4F"/>
    <w:rsid w:val="3F140122"/>
    <w:rsid w:val="3F147FA7"/>
    <w:rsid w:val="3F161F71"/>
    <w:rsid w:val="3F204B9E"/>
    <w:rsid w:val="3F2646D4"/>
    <w:rsid w:val="3F285800"/>
    <w:rsid w:val="3F5F3574"/>
    <w:rsid w:val="3F676329"/>
    <w:rsid w:val="3F7647BE"/>
    <w:rsid w:val="3F7B0026"/>
    <w:rsid w:val="3F7B1DD4"/>
    <w:rsid w:val="3F7B62DF"/>
    <w:rsid w:val="3FA70E1B"/>
    <w:rsid w:val="3FB62558"/>
    <w:rsid w:val="3FBD063E"/>
    <w:rsid w:val="3FC124F6"/>
    <w:rsid w:val="3FCE50BF"/>
    <w:rsid w:val="3FD12FC9"/>
    <w:rsid w:val="3FD140EA"/>
    <w:rsid w:val="3FE739C5"/>
    <w:rsid w:val="3FE80635"/>
    <w:rsid w:val="3FEB7944"/>
    <w:rsid w:val="40122C46"/>
    <w:rsid w:val="401D367D"/>
    <w:rsid w:val="40273D0A"/>
    <w:rsid w:val="40297A82"/>
    <w:rsid w:val="40363F4D"/>
    <w:rsid w:val="40385F17"/>
    <w:rsid w:val="405109DA"/>
    <w:rsid w:val="40532D51"/>
    <w:rsid w:val="405368AD"/>
    <w:rsid w:val="40552625"/>
    <w:rsid w:val="405753F5"/>
    <w:rsid w:val="405C7E57"/>
    <w:rsid w:val="405F16F6"/>
    <w:rsid w:val="406F2273"/>
    <w:rsid w:val="40714007"/>
    <w:rsid w:val="407B1A44"/>
    <w:rsid w:val="4093314D"/>
    <w:rsid w:val="40953369"/>
    <w:rsid w:val="409D5D7A"/>
    <w:rsid w:val="40A610D2"/>
    <w:rsid w:val="40BC64F6"/>
    <w:rsid w:val="40BE01CA"/>
    <w:rsid w:val="40D07EFD"/>
    <w:rsid w:val="40D21EC7"/>
    <w:rsid w:val="40F04F61"/>
    <w:rsid w:val="40F22ED9"/>
    <w:rsid w:val="40F8389B"/>
    <w:rsid w:val="40FD165F"/>
    <w:rsid w:val="41067DC3"/>
    <w:rsid w:val="41085814"/>
    <w:rsid w:val="410A340F"/>
    <w:rsid w:val="411B386E"/>
    <w:rsid w:val="4134685C"/>
    <w:rsid w:val="413606A8"/>
    <w:rsid w:val="413C5593"/>
    <w:rsid w:val="41441903"/>
    <w:rsid w:val="41481A13"/>
    <w:rsid w:val="4151103E"/>
    <w:rsid w:val="41562AF9"/>
    <w:rsid w:val="415D5C35"/>
    <w:rsid w:val="416904D0"/>
    <w:rsid w:val="416D1BF0"/>
    <w:rsid w:val="417019B5"/>
    <w:rsid w:val="41711FEA"/>
    <w:rsid w:val="417F377D"/>
    <w:rsid w:val="4181067C"/>
    <w:rsid w:val="418A27A2"/>
    <w:rsid w:val="418B6CA6"/>
    <w:rsid w:val="419C1111"/>
    <w:rsid w:val="41A25D3E"/>
    <w:rsid w:val="41A40D4F"/>
    <w:rsid w:val="41A90E7A"/>
    <w:rsid w:val="41C21F3C"/>
    <w:rsid w:val="41CE6198"/>
    <w:rsid w:val="41D34149"/>
    <w:rsid w:val="41D51208"/>
    <w:rsid w:val="41D57EC1"/>
    <w:rsid w:val="41E7055F"/>
    <w:rsid w:val="41EC2ABF"/>
    <w:rsid w:val="41F61BE6"/>
    <w:rsid w:val="420330D8"/>
    <w:rsid w:val="420B186A"/>
    <w:rsid w:val="420D5DA9"/>
    <w:rsid w:val="42134546"/>
    <w:rsid w:val="42293D69"/>
    <w:rsid w:val="423116EE"/>
    <w:rsid w:val="423476A2"/>
    <w:rsid w:val="42377719"/>
    <w:rsid w:val="423821FE"/>
    <w:rsid w:val="42446DF5"/>
    <w:rsid w:val="42463B09"/>
    <w:rsid w:val="42510D9F"/>
    <w:rsid w:val="4251506E"/>
    <w:rsid w:val="42562684"/>
    <w:rsid w:val="4258464E"/>
    <w:rsid w:val="426503DD"/>
    <w:rsid w:val="42927B60"/>
    <w:rsid w:val="42C57F36"/>
    <w:rsid w:val="42CE2FAA"/>
    <w:rsid w:val="42E310F5"/>
    <w:rsid w:val="42E37040"/>
    <w:rsid w:val="42EA5181"/>
    <w:rsid w:val="43095949"/>
    <w:rsid w:val="431B5A9A"/>
    <w:rsid w:val="43212C92"/>
    <w:rsid w:val="4325499A"/>
    <w:rsid w:val="435A0A41"/>
    <w:rsid w:val="435E0C92"/>
    <w:rsid w:val="43642539"/>
    <w:rsid w:val="43655275"/>
    <w:rsid w:val="436808C1"/>
    <w:rsid w:val="436F0772"/>
    <w:rsid w:val="4370517B"/>
    <w:rsid w:val="437234EE"/>
    <w:rsid w:val="43727992"/>
    <w:rsid w:val="4374601D"/>
    <w:rsid w:val="438D0328"/>
    <w:rsid w:val="4392593E"/>
    <w:rsid w:val="43965742"/>
    <w:rsid w:val="43A22025"/>
    <w:rsid w:val="43B95295"/>
    <w:rsid w:val="43BC29BB"/>
    <w:rsid w:val="43BD6E5F"/>
    <w:rsid w:val="43C04259"/>
    <w:rsid w:val="43CF0940"/>
    <w:rsid w:val="43DB5C5A"/>
    <w:rsid w:val="43E71EF6"/>
    <w:rsid w:val="43ED7BBE"/>
    <w:rsid w:val="43F1220D"/>
    <w:rsid w:val="43FF58E1"/>
    <w:rsid w:val="44024872"/>
    <w:rsid w:val="44093E52"/>
    <w:rsid w:val="440C2FA5"/>
    <w:rsid w:val="440C662F"/>
    <w:rsid w:val="44136A7F"/>
    <w:rsid w:val="4420119C"/>
    <w:rsid w:val="443029C3"/>
    <w:rsid w:val="44372D5A"/>
    <w:rsid w:val="443A4914"/>
    <w:rsid w:val="443C17FD"/>
    <w:rsid w:val="443C2C84"/>
    <w:rsid w:val="44564A43"/>
    <w:rsid w:val="445F383C"/>
    <w:rsid w:val="448B2AB9"/>
    <w:rsid w:val="448C3C62"/>
    <w:rsid w:val="44A30EB8"/>
    <w:rsid w:val="44AB4F09"/>
    <w:rsid w:val="44BF2763"/>
    <w:rsid w:val="44C71617"/>
    <w:rsid w:val="44C71D68"/>
    <w:rsid w:val="44CD5097"/>
    <w:rsid w:val="44D07056"/>
    <w:rsid w:val="44DC50C3"/>
    <w:rsid w:val="44F77C59"/>
    <w:rsid w:val="45010FCD"/>
    <w:rsid w:val="450364ED"/>
    <w:rsid w:val="45177A2E"/>
    <w:rsid w:val="452B615F"/>
    <w:rsid w:val="453749EF"/>
    <w:rsid w:val="453A0041"/>
    <w:rsid w:val="45462E84"/>
    <w:rsid w:val="45475D37"/>
    <w:rsid w:val="455C4184"/>
    <w:rsid w:val="456A6B72"/>
    <w:rsid w:val="456B28EB"/>
    <w:rsid w:val="456F23DB"/>
    <w:rsid w:val="45707AC7"/>
    <w:rsid w:val="457315DD"/>
    <w:rsid w:val="457A7871"/>
    <w:rsid w:val="45912351"/>
    <w:rsid w:val="45921C25"/>
    <w:rsid w:val="45940874"/>
    <w:rsid w:val="45AB2CE7"/>
    <w:rsid w:val="45B05DA3"/>
    <w:rsid w:val="45B10339"/>
    <w:rsid w:val="45C1250B"/>
    <w:rsid w:val="45C62217"/>
    <w:rsid w:val="45D62345"/>
    <w:rsid w:val="45E00BE3"/>
    <w:rsid w:val="45E76415"/>
    <w:rsid w:val="45EC3A2B"/>
    <w:rsid w:val="45EC7588"/>
    <w:rsid w:val="45EF52CA"/>
    <w:rsid w:val="45F4689F"/>
    <w:rsid w:val="45FC45B4"/>
    <w:rsid w:val="460916E7"/>
    <w:rsid w:val="461B7E6D"/>
    <w:rsid w:val="46245196"/>
    <w:rsid w:val="462A3CCD"/>
    <w:rsid w:val="463637EC"/>
    <w:rsid w:val="464473C4"/>
    <w:rsid w:val="46454EEA"/>
    <w:rsid w:val="46481EFB"/>
    <w:rsid w:val="464A5D5A"/>
    <w:rsid w:val="464B1FD8"/>
    <w:rsid w:val="46597E25"/>
    <w:rsid w:val="466435C2"/>
    <w:rsid w:val="46713F31"/>
    <w:rsid w:val="467312FF"/>
    <w:rsid w:val="467E4938"/>
    <w:rsid w:val="46911740"/>
    <w:rsid w:val="46955E71"/>
    <w:rsid w:val="469C37C0"/>
    <w:rsid w:val="469D2F78"/>
    <w:rsid w:val="46C027C2"/>
    <w:rsid w:val="46C2653A"/>
    <w:rsid w:val="46C6427C"/>
    <w:rsid w:val="46CC6329"/>
    <w:rsid w:val="46CE4EDF"/>
    <w:rsid w:val="46D67ED9"/>
    <w:rsid w:val="46D70238"/>
    <w:rsid w:val="46D87B0C"/>
    <w:rsid w:val="46DD3374"/>
    <w:rsid w:val="46DF1D16"/>
    <w:rsid w:val="46E12E64"/>
    <w:rsid w:val="46EB3CE3"/>
    <w:rsid w:val="46F96074"/>
    <w:rsid w:val="46FA5391"/>
    <w:rsid w:val="47015184"/>
    <w:rsid w:val="47017063"/>
    <w:rsid w:val="47046B53"/>
    <w:rsid w:val="471630A7"/>
    <w:rsid w:val="47174AD8"/>
    <w:rsid w:val="4723522B"/>
    <w:rsid w:val="4725044A"/>
    <w:rsid w:val="472D336C"/>
    <w:rsid w:val="473934C9"/>
    <w:rsid w:val="47482EE3"/>
    <w:rsid w:val="47694C08"/>
    <w:rsid w:val="477912EF"/>
    <w:rsid w:val="477E06B3"/>
    <w:rsid w:val="479559FD"/>
    <w:rsid w:val="4799373F"/>
    <w:rsid w:val="47A27A39"/>
    <w:rsid w:val="47AC0367"/>
    <w:rsid w:val="47B26C2C"/>
    <w:rsid w:val="47B6609F"/>
    <w:rsid w:val="47BB1907"/>
    <w:rsid w:val="47C23EC6"/>
    <w:rsid w:val="47D05559"/>
    <w:rsid w:val="47D6058B"/>
    <w:rsid w:val="47DE73A4"/>
    <w:rsid w:val="47E37D62"/>
    <w:rsid w:val="47E524E0"/>
    <w:rsid w:val="47E60EA8"/>
    <w:rsid w:val="47EA7AF7"/>
    <w:rsid w:val="47F95F8C"/>
    <w:rsid w:val="47FD3B6B"/>
    <w:rsid w:val="480F1C53"/>
    <w:rsid w:val="4818093C"/>
    <w:rsid w:val="48196046"/>
    <w:rsid w:val="48205C0E"/>
    <w:rsid w:val="483F3C65"/>
    <w:rsid w:val="4841294F"/>
    <w:rsid w:val="48524F02"/>
    <w:rsid w:val="48546800"/>
    <w:rsid w:val="48653EC9"/>
    <w:rsid w:val="4867507B"/>
    <w:rsid w:val="487B1097"/>
    <w:rsid w:val="487E7820"/>
    <w:rsid w:val="487F598A"/>
    <w:rsid w:val="4881139B"/>
    <w:rsid w:val="48956FF6"/>
    <w:rsid w:val="48976B8B"/>
    <w:rsid w:val="489B4233"/>
    <w:rsid w:val="48A00AFD"/>
    <w:rsid w:val="48AC74A2"/>
    <w:rsid w:val="48AE6690"/>
    <w:rsid w:val="48BD16AF"/>
    <w:rsid w:val="48BF71D5"/>
    <w:rsid w:val="48D2349A"/>
    <w:rsid w:val="48D52555"/>
    <w:rsid w:val="48D569F9"/>
    <w:rsid w:val="48DC5259"/>
    <w:rsid w:val="48E076C9"/>
    <w:rsid w:val="48E1539E"/>
    <w:rsid w:val="48E22EC4"/>
    <w:rsid w:val="48E40947"/>
    <w:rsid w:val="48EB7FCA"/>
    <w:rsid w:val="48EC0787"/>
    <w:rsid w:val="48F0738F"/>
    <w:rsid w:val="48F0798E"/>
    <w:rsid w:val="48F549A5"/>
    <w:rsid w:val="48F7696F"/>
    <w:rsid w:val="48F977DA"/>
    <w:rsid w:val="48FC3F85"/>
    <w:rsid w:val="490F5F36"/>
    <w:rsid w:val="49107A31"/>
    <w:rsid w:val="491174E8"/>
    <w:rsid w:val="491237A9"/>
    <w:rsid w:val="491568B8"/>
    <w:rsid w:val="492B03C7"/>
    <w:rsid w:val="492E7EB7"/>
    <w:rsid w:val="493F0316"/>
    <w:rsid w:val="494B6ADC"/>
    <w:rsid w:val="49555444"/>
    <w:rsid w:val="4961073B"/>
    <w:rsid w:val="49635DB3"/>
    <w:rsid w:val="496763FC"/>
    <w:rsid w:val="49861137"/>
    <w:rsid w:val="498B7D91"/>
    <w:rsid w:val="49904F96"/>
    <w:rsid w:val="499248EA"/>
    <w:rsid w:val="499768DE"/>
    <w:rsid w:val="499A7582"/>
    <w:rsid w:val="499C7517"/>
    <w:rsid w:val="49A60C8C"/>
    <w:rsid w:val="49AE2DA6"/>
    <w:rsid w:val="49AF724A"/>
    <w:rsid w:val="49B33B03"/>
    <w:rsid w:val="49C50435"/>
    <w:rsid w:val="49C70CAF"/>
    <w:rsid w:val="49D15412"/>
    <w:rsid w:val="49D942C7"/>
    <w:rsid w:val="49DE368B"/>
    <w:rsid w:val="49F17862"/>
    <w:rsid w:val="49F92273"/>
    <w:rsid w:val="49FA5FEB"/>
    <w:rsid w:val="4A024D9B"/>
    <w:rsid w:val="4A14508C"/>
    <w:rsid w:val="4A15049B"/>
    <w:rsid w:val="4A185063"/>
    <w:rsid w:val="4A1E63D9"/>
    <w:rsid w:val="4A2F038B"/>
    <w:rsid w:val="4A2F2139"/>
    <w:rsid w:val="4A3634C7"/>
    <w:rsid w:val="4A435BE4"/>
    <w:rsid w:val="4A476542"/>
    <w:rsid w:val="4A5A5CB8"/>
    <w:rsid w:val="4A5D6CA6"/>
    <w:rsid w:val="4A657104"/>
    <w:rsid w:val="4A77763C"/>
    <w:rsid w:val="4A822FF8"/>
    <w:rsid w:val="4A835FE1"/>
    <w:rsid w:val="4AC705C3"/>
    <w:rsid w:val="4AD4683C"/>
    <w:rsid w:val="4ADB5E1D"/>
    <w:rsid w:val="4AE16CDF"/>
    <w:rsid w:val="4AE20F59"/>
    <w:rsid w:val="4AF97BDF"/>
    <w:rsid w:val="4B074E64"/>
    <w:rsid w:val="4B0C247A"/>
    <w:rsid w:val="4B105AC6"/>
    <w:rsid w:val="4B17276C"/>
    <w:rsid w:val="4B182BCD"/>
    <w:rsid w:val="4B313034"/>
    <w:rsid w:val="4B3F21BF"/>
    <w:rsid w:val="4B3F45FD"/>
    <w:rsid w:val="4B414BEA"/>
    <w:rsid w:val="4B484E08"/>
    <w:rsid w:val="4B4B11F4"/>
    <w:rsid w:val="4B58121B"/>
    <w:rsid w:val="4B604A63"/>
    <w:rsid w:val="4B645E12"/>
    <w:rsid w:val="4B663938"/>
    <w:rsid w:val="4B721445"/>
    <w:rsid w:val="4B78366B"/>
    <w:rsid w:val="4B885FA4"/>
    <w:rsid w:val="4B8D5369"/>
    <w:rsid w:val="4B900F06"/>
    <w:rsid w:val="4B920BD1"/>
    <w:rsid w:val="4B923256"/>
    <w:rsid w:val="4BA1593E"/>
    <w:rsid w:val="4BB27656"/>
    <w:rsid w:val="4BB723E6"/>
    <w:rsid w:val="4BC845F3"/>
    <w:rsid w:val="4BC863A1"/>
    <w:rsid w:val="4BCD39B7"/>
    <w:rsid w:val="4BCF2343"/>
    <w:rsid w:val="4BD42F98"/>
    <w:rsid w:val="4BD4797C"/>
    <w:rsid w:val="4BDE0ACA"/>
    <w:rsid w:val="4BE3142D"/>
    <w:rsid w:val="4BEA4569"/>
    <w:rsid w:val="4BEB3D23"/>
    <w:rsid w:val="4BF47764"/>
    <w:rsid w:val="4BF70A34"/>
    <w:rsid w:val="4C080E93"/>
    <w:rsid w:val="4C0C6C07"/>
    <w:rsid w:val="4C107D48"/>
    <w:rsid w:val="4C1A0FFB"/>
    <w:rsid w:val="4C2A0E0A"/>
    <w:rsid w:val="4C2B6930"/>
    <w:rsid w:val="4C51283A"/>
    <w:rsid w:val="4C5703A1"/>
    <w:rsid w:val="4C6065D9"/>
    <w:rsid w:val="4C6267F5"/>
    <w:rsid w:val="4C6C31D0"/>
    <w:rsid w:val="4C6D519A"/>
    <w:rsid w:val="4C784AD5"/>
    <w:rsid w:val="4C7B5316"/>
    <w:rsid w:val="4C816E26"/>
    <w:rsid w:val="4C854292"/>
    <w:rsid w:val="4CA26BF2"/>
    <w:rsid w:val="4CA566E2"/>
    <w:rsid w:val="4CBF59F6"/>
    <w:rsid w:val="4CC31472"/>
    <w:rsid w:val="4CC528E0"/>
    <w:rsid w:val="4CCE0B6D"/>
    <w:rsid w:val="4CEA0599"/>
    <w:rsid w:val="4CF82CB6"/>
    <w:rsid w:val="4D0255FC"/>
    <w:rsid w:val="4D2542BA"/>
    <w:rsid w:val="4D2770F7"/>
    <w:rsid w:val="4D2910C1"/>
    <w:rsid w:val="4D371A30"/>
    <w:rsid w:val="4D3D7B89"/>
    <w:rsid w:val="4D4417B7"/>
    <w:rsid w:val="4D457D41"/>
    <w:rsid w:val="4D6959A5"/>
    <w:rsid w:val="4D697710"/>
    <w:rsid w:val="4D6B3488"/>
    <w:rsid w:val="4D7560B4"/>
    <w:rsid w:val="4D80480D"/>
    <w:rsid w:val="4D866514"/>
    <w:rsid w:val="4D875DE8"/>
    <w:rsid w:val="4D957123"/>
    <w:rsid w:val="4D9D385D"/>
    <w:rsid w:val="4D9F75D5"/>
    <w:rsid w:val="4DB54671"/>
    <w:rsid w:val="4DBA7F6B"/>
    <w:rsid w:val="4DBF1A26"/>
    <w:rsid w:val="4DC112FA"/>
    <w:rsid w:val="4DC63E52"/>
    <w:rsid w:val="4DC66910"/>
    <w:rsid w:val="4DDF0B66"/>
    <w:rsid w:val="4DE374C2"/>
    <w:rsid w:val="4DEA6AA2"/>
    <w:rsid w:val="4DF02CEE"/>
    <w:rsid w:val="4DFE60AA"/>
    <w:rsid w:val="4E0008A3"/>
    <w:rsid w:val="4E0566FA"/>
    <w:rsid w:val="4E0631B0"/>
    <w:rsid w:val="4E0B2A9E"/>
    <w:rsid w:val="4E197388"/>
    <w:rsid w:val="4E1E345A"/>
    <w:rsid w:val="4E1E7A78"/>
    <w:rsid w:val="4E280455"/>
    <w:rsid w:val="4E2B7182"/>
    <w:rsid w:val="4E3A10AC"/>
    <w:rsid w:val="4E421019"/>
    <w:rsid w:val="4E4C3EEF"/>
    <w:rsid w:val="4E4E43FE"/>
    <w:rsid w:val="4E5008D0"/>
    <w:rsid w:val="4E526AF4"/>
    <w:rsid w:val="4E810A89"/>
    <w:rsid w:val="4E86609F"/>
    <w:rsid w:val="4E876FAA"/>
    <w:rsid w:val="4E8C095C"/>
    <w:rsid w:val="4E8F31A6"/>
    <w:rsid w:val="4E937A8F"/>
    <w:rsid w:val="4EA048C0"/>
    <w:rsid w:val="4EAA3395"/>
    <w:rsid w:val="4EBD5F65"/>
    <w:rsid w:val="4ED83F09"/>
    <w:rsid w:val="4EDE412D"/>
    <w:rsid w:val="4EDE7C89"/>
    <w:rsid w:val="4EEF00E8"/>
    <w:rsid w:val="4EF23735"/>
    <w:rsid w:val="4EF86F9D"/>
    <w:rsid w:val="4F0C77B7"/>
    <w:rsid w:val="4F1418FD"/>
    <w:rsid w:val="4F155DA1"/>
    <w:rsid w:val="4F1B57A5"/>
    <w:rsid w:val="4F1C457F"/>
    <w:rsid w:val="4F227D12"/>
    <w:rsid w:val="4F2369DF"/>
    <w:rsid w:val="4F322603"/>
    <w:rsid w:val="4F440B1C"/>
    <w:rsid w:val="4F5A3D11"/>
    <w:rsid w:val="4F5C39D0"/>
    <w:rsid w:val="4F5C3E39"/>
    <w:rsid w:val="4F5F526E"/>
    <w:rsid w:val="4F766114"/>
    <w:rsid w:val="4F7800DE"/>
    <w:rsid w:val="4F7A1771"/>
    <w:rsid w:val="4F8B1BBF"/>
    <w:rsid w:val="4F956FB8"/>
    <w:rsid w:val="4FB1336C"/>
    <w:rsid w:val="4FB235F0"/>
    <w:rsid w:val="4FD035BF"/>
    <w:rsid w:val="4FD73056"/>
    <w:rsid w:val="4FDA48F5"/>
    <w:rsid w:val="4FDC68BF"/>
    <w:rsid w:val="4FFB6CD8"/>
    <w:rsid w:val="500B0F52"/>
    <w:rsid w:val="50106568"/>
    <w:rsid w:val="501E6ED7"/>
    <w:rsid w:val="502A762A"/>
    <w:rsid w:val="502F69F3"/>
    <w:rsid w:val="504364DD"/>
    <w:rsid w:val="504601DC"/>
    <w:rsid w:val="506F396C"/>
    <w:rsid w:val="50811214"/>
    <w:rsid w:val="5081145E"/>
    <w:rsid w:val="508F56DF"/>
    <w:rsid w:val="509445CC"/>
    <w:rsid w:val="5099030C"/>
    <w:rsid w:val="50A73E77"/>
    <w:rsid w:val="50A93D26"/>
    <w:rsid w:val="50B57FFF"/>
    <w:rsid w:val="50C309A3"/>
    <w:rsid w:val="50CC06E1"/>
    <w:rsid w:val="50CE53BD"/>
    <w:rsid w:val="50CE7D1F"/>
    <w:rsid w:val="50D17AA6"/>
    <w:rsid w:val="50D61560"/>
    <w:rsid w:val="50E33C7D"/>
    <w:rsid w:val="50EA0B67"/>
    <w:rsid w:val="50EC0D83"/>
    <w:rsid w:val="50F16C75"/>
    <w:rsid w:val="50F5296D"/>
    <w:rsid w:val="50F639B0"/>
    <w:rsid w:val="5103062F"/>
    <w:rsid w:val="5110329F"/>
    <w:rsid w:val="51120433"/>
    <w:rsid w:val="511856D5"/>
    <w:rsid w:val="511A68FA"/>
    <w:rsid w:val="511F0A23"/>
    <w:rsid w:val="513B7BCE"/>
    <w:rsid w:val="514C537E"/>
    <w:rsid w:val="51501312"/>
    <w:rsid w:val="516353FA"/>
    <w:rsid w:val="517F7502"/>
    <w:rsid w:val="51844B18"/>
    <w:rsid w:val="518504B4"/>
    <w:rsid w:val="51874940"/>
    <w:rsid w:val="519A14FB"/>
    <w:rsid w:val="51A258E6"/>
    <w:rsid w:val="51A76A58"/>
    <w:rsid w:val="51AD7B75"/>
    <w:rsid w:val="51C615D4"/>
    <w:rsid w:val="51CC64BF"/>
    <w:rsid w:val="51CD2963"/>
    <w:rsid w:val="51EA49DB"/>
    <w:rsid w:val="51FB28DA"/>
    <w:rsid w:val="5202206A"/>
    <w:rsid w:val="52067C23"/>
    <w:rsid w:val="52097713"/>
    <w:rsid w:val="520C2D5F"/>
    <w:rsid w:val="520E76ED"/>
    <w:rsid w:val="52195BA8"/>
    <w:rsid w:val="521D4F6D"/>
    <w:rsid w:val="52285DEB"/>
    <w:rsid w:val="52292F37"/>
    <w:rsid w:val="522C5352"/>
    <w:rsid w:val="522E717A"/>
    <w:rsid w:val="523C70A6"/>
    <w:rsid w:val="5242641F"/>
    <w:rsid w:val="524644C3"/>
    <w:rsid w:val="524E3378"/>
    <w:rsid w:val="524F4E93"/>
    <w:rsid w:val="525A1D1D"/>
    <w:rsid w:val="52833022"/>
    <w:rsid w:val="528625D6"/>
    <w:rsid w:val="528648C0"/>
    <w:rsid w:val="52A46C93"/>
    <w:rsid w:val="52BD3372"/>
    <w:rsid w:val="52BF7DD2"/>
    <w:rsid w:val="52CA0B6D"/>
    <w:rsid w:val="52D41ACF"/>
    <w:rsid w:val="52E15670"/>
    <w:rsid w:val="52F1442F"/>
    <w:rsid w:val="52F45CCD"/>
    <w:rsid w:val="53004672"/>
    <w:rsid w:val="530E5121"/>
    <w:rsid w:val="5325057D"/>
    <w:rsid w:val="532D2F4E"/>
    <w:rsid w:val="5332634E"/>
    <w:rsid w:val="53333FAA"/>
    <w:rsid w:val="53342498"/>
    <w:rsid w:val="534C3D5B"/>
    <w:rsid w:val="53511372"/>
    <w:rsid w:val="535D654E"/>
    <w:rsid w:val="53630D2D"/>
    <w:rsid w:val="53654E1D"/>
    <w:rsid w:val="53685DC3"/>
    <w:rsid w:val="53740BBC"/>
    <w:rsid w:val="537B79E0"/>
    <w:rsid w:val="53804EB8"/>
    <w:rsid w:val="53844887"/>
    <w:rsid w:val="53867C8B"/>
    <w:rsid w:val="53915C12"/>
    <w:rsid w:val="53927BD7"/>
    <w:rsid w:val="5394125E"/>
    <w:rsid w:val="53A45945"/>
    <w:rsid w:val="53A61B61"/>
    <w:rsid w:val="53B4545D"/>
    <w:rsid w:val="53BA0CC5"/>
    <w:rsid w:val="53BB67EB"/>
    <w:rsid w:val="53C658BC"/>
    <w:rsid w:val="53CC6C4A"/>
    <w:rsid w:val="53D61877"/>
    <w:rsid w:val="53E21FCA"/>
    <w:rsid w:val="53F95C94"/>
    <w:rsid w:val="5408277A"/>
    <w:rsid w:val="54120B01"/>
    <w:rsid w:val="54161C73"/>
    <w:rsid w:val="541C54DC"/>
    <w:rsid w:val="541E48F6"/>
    <w:rsid w:val="54297BF9"/>
    <w:rsid w:val="542A391E"/>
    <w:rsid w:val="542A3B8D"/>
    <w:rsid w:val="542F69FE"/>
    <w:rsid w:val="54323206"/>
    <w:rsid w:val="5442655A"/>
    <w:rsid w:val="544D7D8B"/>
    <w:rsid w:val="5455279C"/>
    <w:rsid w:val="545714D1"/>
    <w:rsid w:val="54613364"/>
    <w:rsid w:val="547023DF"/>
    <w:rsid w:val="547C41CC"/>
    <w:rsid w:val="548B08B3"/>
    <w:rsid w:val="548C783C"/>
    <w:rsid w:val="548D462B"/>
    <w:rsid w:val="549326CE"/>
    <w:rsid w:val="549C252D"/>
    <w:rsid w:val="549E21A6"/>
    <w:rsid w:val="54AB2D04"/>
    <w:rsid w:val="54AD082A"/>
    <w:rsid w:val="54C3041A"/>
    <w:rsid w:val="54CA13DC"/>
    <w:rsid w:val="54D9049D"/>
    <w:rsid w:val="54D975B7"/>
    <w:rsid w:val="54DE4B0B"/>
    <w:rsid w:val="54E65AEA"/>
    <w:rsid w:val="54EA7388"/>
    <w:rsid w:val="54F2387B"/>
    <w:rsid w:val="54F54B2D"/>
    <w:rsid w:val="550131B7"/>
    <w:rsid w:val="55195EBF"/>
    <w:rsid w:val="55254864"/>
    <w:rsid w:val="552830AF"/>
    <w:rsid w:val="554F7B33"/>
    <w:rsid w:val="55582402"/>
    <w:rsid w:val="555F6A99"/>
    <w:rsid w:val="55612438"/>
    <w:rsid w:val="55676C2B"/>
    <w:rsid w:val="55776ADD"/>
    <w:rsid w:val="55900F1B"/>
    <w:rsid w:val="55945546"/>
    <w:rsid w:val="559D089E"/>
    <w:rsid w:val="559E35F6"/>
    <w:rsid w:val="559F5CB8"/>
    <w:rsid w:val="55AA27CC"/>
    <w:rsid w:val="55B160F8"/>
    <w:rsid w:val="55B305BC"/>
    <w:rsid w:val="55BA1450"/>
    <w:rsid w:val="55DC50E2"/>
    <w:rsid w:val="55DF271D"/>
    <w:rsid w:val="55F208EB"/>
    <w:rsid w:val="55F41242"/>
    <w:rsid w:val="55F52081"/>
    <w:rsid w:val="560721BC"/>
    <w:rsid w:val="560B3A5A"/>
    <w:rsid w:val="561548D9"/>
    <w:rsid w:val="561D553B"/>
    <w:rsid w:val="562442D4"/>
    <w:rsid w:val="562C13B9"/>
    <w:rsid w:val="56347244"/>
    <w:rsid w:val="563665FD"/>
    <w:rsid w:val="56477DCC"/>
    <w:rsid w:val="565F7902"/>
    <w:rsid w:val="566E223B"/>
    <w:rsid w:val="56707BDA"/>
    <w:rsid w:val="56837A94"/>
    <w:rsid w:val="568862CF"/>
    <w:rsid w:val="56906652"/>
    <w:rsid w:val="56A11452"/>
    <w:rsid w:val="56A15A56"/>
    <w:rsid w:val="56A42B7F"/>
    <w:rsid w:val="56A63783"/>
    <w:rsid w:val="56A95021"/>
    <w:rsid w:val="56AC18B7"/>
    <w:rsid w:val="56B14EED"/>
    <w:rsid w:val="56C07222"/>
    <w:rsid w:val="56C360E3"/>
    <w:rsid w:val="56C67981"/>
    <w:rsid w:val="56D5773C"/>
    <w:rsid w:val="56DA342C"/>
    <w:rsid w:val="56DA3743"/>
    <w:rsid w:val="56DF6C95"/>
    <w:rsid w:val="56E4325D"/>
    <w:rsid w:val="56E803BD"/>
    <w:rsid w:val="56EA02D3"/>
    <w:rsid w:val="56F53D0C"/>
    <w:rsid w:val="56FE536D"/>
    <w:rsid w:val="570E7565"/>
    <w:rsid w:val="570F4F7D"/>
    <w:rsid w:val="571A2C0C"/>
    <w:rsid w:val="571E5A0F"/>
    <w:rsid w:val="57236B81"/>
    <w:rsid w:val="57250B4B"/>
    <w:rsid w:val="573432E3"/>
    <w:rsid w:val="573966F6"/>
    <w:rsid w:val="573A54BB"/>
    <w:rsid w:val="573B211D"/>
    <w:rsid w:val="574C257C"/>
    <w:rsid w:val="574F35AB"/>
    <w:rsid w:val="574F3999"/>
    <w:rsid w:val="57560D05"/>
    <w:rsid w:val="575A2BCF"/>
    <w:rsid w:val="577858E6"/>
    <w:rsid w:val="57837F53"/>
    <w:rsid w:val="57923D07"/>
    <w:rsid w:val="57A852D8"/>
    <w:rsid w:val="57B10631"/>
    <w:rsid w:val="57C245EC"/>
    <w:rsid w:val="57CA524F"/>
    <w:rsid w:val="57CC19B6"/>
    <w:rsid w:val="57DD2798"/>
    <w:rsid w:val="57E353D9"/>
    <w:rsid w:val="57E722A5"/>
    <w:rsid w:val="57EF2F07"/>
    <w:rsid w:val="57F16C7F"/>
    <w:rsid w:val="580E5A83"/>
    <w:rsid w:val="581B1F4E"/>
    <w:rsid w:val="581C0755"/>
    <w:rsid w:val="581F559B"/>
    <w:rsid w:val="582C7CB7"/>
    <w:rsid w:val="583340AB"/>
    <w:rsid w:val="58344CD4"/>
    <w:rsid w:val="583B7EFB"/>
    <w:rsid w:val="583F4B0C"/>
    <w:rsid w:val="584A2F66"/>
    <w:rsid w:val="584C0796"/>
    <w:rsid w:val="58564D34"/>
    <w:rsid w:val="585C1DFE"/>
    <w:rsid w:val="586631C9"/>
    <w:rsid w:val="586C27AA"/>
    <w:rsid w:val="586E3B89"/>
    <w:rsid w:val="58737694"/>
    <w:rsid w:val="587C0C3F"/>
    <w:rsid w:val="58814F0B"/>
    <w:rsid w:val="588A1CD2"/>
    <w:rsid w:val="588E0972"/>
    <w:rsid w:val="589927B3"/>
    <w:rsid w:val="58A614DF"/>
    <w:rsid w:val="58AB6E2E"/>
    <w:rsid w:val="58BA3515"/>
    <w:rsid w:val="58BE2CC2"/>
    <w:rsid w:val="58C223CA"/>
    <w:rsid w:val="58C93758"/>
    <w:rsid w:val="58CA7BFC"/>
    <w:rsid w:val="58CC6952"/>
    <w:rsid w:val="58E30CBE"/>
    <w:rsid w:val="58E97957"/>
    <w:rsid w:val="58F21B7C"/>
    <w:rsid w:val="58F72073"/>
    <w:rsid w:val="58FE3163"/>
    <w:rsid w:val="58FF0FBA"/>
    <w:rsid w:val="59215342"/>
    <w:rsid w:val="592A2449"/>
    <w:rsid w:val="592D3CE7"/>
    <w:rsid w:val="5932754F"/>
    <w:rsid w:val="5937273B"/>
    <w:rsid w:val="5943350B"/>
    <w:rsid w:val="59484FC5"/>
    <w:rsid w:val="594F0101"/>
    <w:rsid w:val="595079D6"/>
    <w:rsid w:val="59550B49"/>
    <w:rsid w:val="59594ADC"/>
    <w:rsid w:val="59722042"/>
    <w:rsid w:val="59725B9E"/>
    <w:rsid w:val="5987789B"/>
    <w:rsid w:val="59965D30"/>
    <w:rsid w:val="59973856"/>
    <w:rsid w:val="599B50F5"/>
    <w:rsid w:val="59B04046"/>
    <w:rsid w:val="59B30690"/>
    <w:rsid w:val="59BD0DC5"/>
    <w:rsid w:val="59C04B5B"/>
    <w:rsid w:val="59C14D74"/>
    <w:rsid w:val="59CA3C2C"/>
    <w:rsid w:val="59CF1242"/>
    <w:rsid w:val="59FD190B"/>
    <w:rsid w:val="5A001398"/>
    <w:rsid w:val="5A0407DC"/>
    <w:rsid w:val="5A0507C0"/>
    <w:rsid w:val="5A050A0B"/>
    <w:rsid w:val="5A054C64"/>
    <w:rsid w:val="5A0936E7"/>
    <w:rsid w:val="5A124DB7"/>
    <w:rsid w:val="5A151BAB"/>
    <w:rsid w:val="5A167489"/>
    <w:rsid w:val="5A1804F3"/>
    <w:rsid w:val="5A1A6671"/>
    <w:rsid w:val="5A1D0200"/>
    <w:rsid w:val="5A1E1882"/>
    <w:rsid w:val="5A234446"/>
    <w:rsid w:val="5A252C10"/>
    <w:rsid w:val="5A257BAA"/>
    <w:rsid w:val="5A382F3A"/>
    <w:rsid w:val="5A383B25"/>
    <w:rsid w:val="5A3B2A23"/>
    <w:rsid w:val="5A40528C"/>
    <w:rsid w:val="5A424207"/>
    <w:rsid w:val="5A523367"/>
    <w:rsid w:val="5A613ED1"/>
    <w:rsid w:val="5A6720F9"/>
    <w:rsid w:val="5A690F52"/>
    <w:rsid w:val="5A772CEC"/>
    <w:rsid w:val="5A8042EB"/>
    <w:rsid w:val="5A81405C"/>
    <w:rsid w:val="5A9161C8"/>
    <w:rsid w:val="5A9A4D1A"/>
    <w:rsid w:val="5AA75686"/>
    <w:rsid w:val="5AA935C7"/>
    <w:rsid w:val="5AB04BD0"/>
    <w:rsid w:val="5ABF38D8"/>
    <w:rsid w:val="5AE1122D"/>
    <w:rsid w:val="5AEB3E5A"/>
    <w:rsid w:val="5AFC7E15"/>
    <w:rsid w:val="5B12588A"/>
    <w:rsid w:val="5B155B42"/>
    <w:rsid w:val="5B1C6EA2"/>
    <w:rsid w:val="5B1F7C50"/>
    <w:rsid w:val="5B264CC7"/>
    <w:rsid w:val="5B296730"/>
    <w:rsid w:val="5B2A2BD4"/>
    <w:rsid w:val="5B2B24A8"/>
    <w:rsid w:val="5B4041A6"/>
    <w:rsid w:val="5B445318"/>
    <w:rsid w:val="5B453A66"/>
    <w:rsid w:val="5B4C2695"/>
    <w:rsid w:val="5B67418E"/>
    <w:rsid w:val="5B6A2FD1"/>
    <w:rsid w:val="5B764F7C"/>
    <w:rsid w:val="5B85605C"/>
    <w:rsid w:val="5B8B1EFC"/>
    <w:rsid w:val="5BB029AE"/>
    <w:rsid w:val="5BB45EA2"/>
    <w:rsid w:val="5BB73D3C"/>
    <w:rsid w:val="5BB8572F"/>
    <w:rsid w:val="5BC87CF7"/>
    <w:rsid w:val="5BCE6C37"/>
    <w:rsid w:val="5BE508A9"/>
    <w:rsid w:val="5BE663CF"/>
    <w:rsid w:val="5BE70AC5"/>
    <w:rsid w:val="5BEA4111"/>
    <w:rsid w:val="5BF94355"/>
    <w:rsid w:val="5C067B86"/>
    <w:rsid w:val="5C1A30A9"/>
    <w:rsid w:val="5C237623"/>
    <w:rsid w:val="5C2A756F"/>
    <w:rsid w:val="5C2C541B"/>
    <w:rsid w:val="5C335126"/>
    <w:rsid w:val="5C341E81"/>
    <w:rsid w:val="5C361105"/>
    <w:rsid w:val="5C4750C0"/>
    <w:rsid w:val="5C4B5A9A"/>
    <w:rsid w:val="5C593045"/>
    <w:rsid w:val="5C5B6DBD"/>
    <w:rsid w:val="5C653798"/>
    <w:rsid w:val="5C653F4A"/>
    <w:rsid w:val="5C69772C"/>
    <w:rsid w:val="5C7D6D34"/>
    <w:rsid w:val="5C7F3619"/>
    <w:rsid w:val="5C814A76"/>
    <w:rsid w:val="5C850D85"/>
    <w:rsid w:val="5C982C0B"/>
    <w:rsid w:val="5C9A0FE8"/>
    <w:rsid w:val="5C9B365E"/>
    <w:rsid w:val="5CA2679A"/>
    <w:rsid w:val="5CAB2F77"/>
    <w:rsid w:val="5CB9236E"/>
    <w:rsid w:val="5CBD0CC6"/>
    <w:rsid w:val="5CC52489"/>
    <w:rsid w:val="5CC57425"/>
    <w:rsid w:val="5CD54DC2"/>
    <w:rsid w:val="5CDA7BD6"/>
    <w:rsid w:val="5CDB2C89"/>
    <w:rsid w:val="5CDF179C"/>
    <w:rsid w:val="5CE2793C"/>
    <w:rsid w:val="5CE55C5D"/>
    <w:rsid w:val="5CE60D7D"/>
    <w:rsid w:val="5CF35248"/>
    <w:rsid w:val="5CF64B20"/>
    <w:rsid w:val="5D027239"/>
    <w:rsid w:val="5D213B63"/>
    <w:rsid w:val="5D261179"/>
    <w:rsid w:val="5D2C7663"/>
    <w:rsid w:val="5D3C099D"/>
    <w:rsid w:val="5D3C6BEF"/>
    <w:rsid w:val="5D3E4715"/>
    <w:rsid w:val="5D50269A"/>
    <w:rsid w:val="5D524753"/>
    <w:rsid w:val="5D5A0E23"/>
    <w:rsid w:val="5D666B0A"/>
    <w:rsid w:val="5D6B1282"/>
    <w:rsid w:val="5D744642"/>
    <w:rsid w:val="5D7A14C5"/>
    <w:rsid w:val="5D867E6A"/>
    <w:rsid w:val="5D942102"/>
    <w:rsid w:val="5DAC2412"/>
    <w:rsid w:val="5DC32E6C"/>
    <w:rsid w:val="5DC9714D"/>
    <w:rsid w:val="5DD94C53"/>
    <w:rsid w:val="5DDD044E"/>
    <w:rsid w:val="5DE3706A"/>
    <w:rsid w:val="5DEB0648"/>
    <w:rsid w:val="5DFD637E"/>
    <w:rsid w:val="5E070FAB"/>
    <w:rsid w:val="5E0817A3"/>
    <w:rsid w:val="5E135BA1"/>
    <w:rsid w:val="5E162F9C"/>
    <w:rsid w:val="5E176D14"/>
    <w:rsid w:val="5E205954"/>
    <w:rsid w:val="5E2D381F"/>
    <w:rsid w:val="5E2F3B16"/>
    <w:rsid w:val="5E3F3899"/>
    <w:rsid w:val="5E4C10B3"/>
    <w:rsid w:val="5E4F20AC"/>
    <w:rsid w:val="5E541D16"/>
    <w:rsid w:val="5E59732C"/>
    <w:rsid w:val="5E5B30A5"/>
    <w:rsid w:val="5E5E4943"/>
    <w:rsid w:val="5E60690D"/>
    <w:rsid w:val="5E655CD1"/>
    <w:rsid w:val="5E94507E"/>
    <w:rsid w:val="5E96160E"/>
    <w:rsid w:val="5E9D546B"/>
    <w:rsid w:val="5EA44E20"/>
    <w:rsid w:val="5EB84359"/>
    <w:rsid w:val="5EC20CEC"/>
    <w:rsid w:val="5ED068C8"/>
    <w:rsid w:val="5ED115B9"/>
    <w:rsid w:val="5EDF7832"/>
    <w:rsid w:val="5EEA1AA7"/>
    <w:rsid w:val="5EF84D97"/>
    <w:rsid w:val="5EFA3571"/>
    <w:rsid w:val="5F04373C"/>
    <w:rsid w:val="5F07620E"/>
    <w:rsid w:val="5F08322C"/>
    <w:rsid w:val="5F12273C"/>
    <w:rsid w:val="5F1D47FE"/>
    <w:rsid w:val="5F1F2324"/>
    <w:rsid w:val="5F261904"/>
    <w:rsid w:val="5F343D68"/>
    <w:rsid w:val="5F367055"/>
    <w:rsid w:val="5F3F6522"/>
    <w:rsid w:val="5F555D46"/>
    <w:rsid w:val="5F583883"/>
    <w:rsid w:val="5F5C0E82"/>
    <w:rsid w:val="5F661D01"/>
    <w:rsid w:val="5F6C6D59"/>
    <w:rsid w:val="5F7322A4"/>
    <w:rsid w:val="5F781A34"/>
    <w:rsid w:val="5F7E529D"/>
    <w:rsid w:val="5F881C77"/>
    <w:rsid w:val="5F9169CB"/>
    <w:rsid w:val="5F923DB5"/>
    <w:rsid w:val="5F950838"/>
    <w:rsid w:val="5F990328"/>
    <w:rsid w:val="5FAB1E0A"/>
    <w:rsid w:val="5FB40CBE"/>
    <w:rsid w:val="5FD0361E"/>
    <w:rsid w:val="5FE35CC2"/>
    <w:rsid w:val="5FFA069B"/>
    <w:rsid w:val="60033DF7"/>
    <w:rsid w:val="60057CBB"/>
    <w:rsid w:val="600A64D2"/>
    <w:rsid w:val="601B4DC9"/>
    <w:rsid w:val="601E082E"/>
    <w:rsid w:val="602F47E9"/>
    <w:rsid w:val="60310561"/>
    <w:rsid w:val="603718EF"/>
    <w:rsid w:val="60423169"/>
    <w:rsid w:val="606F2691"/>
    <w:rsid w:val="607466A0"/>
    <w:rsid w:val="607501D7"/>
    <w:rsid w:val="60803296"/>
    <w:rsid w:val="609B00D0"/>
    <w:rsid w:val="609B3C2C"/>
    <w:rsid w:val="609D79A4"/>
    <w:rsid w:val="60A2639D"/>
    <w:rsid w:val="60A60F67"/>
    <w:rsid w:val="60AC4B0B"/>
    <w:rsid w:val="60B42397"/>
    <w:rsid w:val="60B648E9"/>
    <w:rsid w:val="60C26998"/>
    <w:rsid w:val="60D809DC"/>
    <w:rsid w:val="60D935EE"/>
    <w:rsid w:val="60DE12FC"/>
    <w:rsid w:val="60E05AE3"/>
    <w:rsid w:val="60E42D4B"/>
    <w:rsid w:val="60F129EA"/>
    <w:rsid w:val="60F64291"/>
    <w:rsid w:val="60FF6494"/>
    <w:rsid w:val="6108326F"/>
    <w:rsid w:val="611341E6"/>
    <w:rsid w:val="61181721"/>
    <w:rsid w:val="612105D5"/>
    <w:rsid w:val="612C6F7A"/>
    <w:rsid w:val="612E5A38"/>
    <w:rsid w:val="613100ED"/>
    <w:rsid w:val="614147D4"/>
    <w:rsid w:val="614D0E4D"/>
    <w:rsid w:val="61567D2A"/>
    <w:rsid w:val="615D5386"/>
    <w:rsid w:val="616E6FCD"/>
    <w:rsid w:val="61721CA7"/>
    <w:rsid w:val="61722BDF"/>
    <w:rsid w:val="617D3F26"/>
    <w:rsid w:val="617F70AA"/>
    <w:rsid w:val="61812E22"/>
    <w:rsid w:val="618D5C6B"/>
    <w:rsid w:val="61946FF9"/>
    <w:rsid w:val="61970898"/>
    <w:rsid w:val="619863BE"/>
    <w:rsid w:val="61A30FEA"/>
    <w:rsid w:val="61AC3873"/>
    <w:rsid w:val="61B16E1E"/>
    <w:rsid w:val="61B551C2"/>
    <w:rsid w:val="61BC02FE"/>
    <w:rsid w:val="61C3168D"/>
    <w:rsid w:val="61CF143A"/>
    <w:rsid w:val="61E628B7"/>
    <w:rsid w:val="61EE1CEF"/>
    <w:rsid w:val="61EF4230"/>
    <w:rsid w:val="61F562A0"/>
    <w:rsid w:val="62053A53"/>
    <w:rsid w:val="620A038B"/>
    <w:rsid w:val="621912AD"/>
    <w:rsid w:val="621B1A6C"/>
    <w:rsid w:val="62206ADF"/>
    <w:rsid w:val="622163B3"/>
    <w:rsid w:val="62252E5E"/>
    <w:rsid w:val="622A34BA"/>
    <w:rsid w:val="623205C0"/>
    <w:rsid w:val="623600B0"/>
    <w:rsid w:val="623634EE"/>
    <w:rsid w:val="623B56C7"/>
    <w:rsid w:val="6243457B"/>
    <w:rsid w:val="6247406C"/>
    <w:rsid w:val="624914F1"/>
    <w:rsid w:val="625855B3"/>
    <w:rsid w:val="625978FB"/>
    <w:rsid w:val="627C6816"/>
    <w:rsid w:val="627E18CF"/>
    <w:rsid w:val="62810FAC"/>
    <w:rsid w:val="62816E52"/>
    <w:rsid w:val="628C7785"/>
    <w:rsid w:val="629A1DDF"/>
    <w:rsid w:val="62A0552A"/>
    <w:rsid w:val="62A20BC7"/>
    <w:rsid w:val="62A67E66"/>
    <w:rsid w:val="62B17A8B"/>
    <w:rsid w:val="62B47227"/>
    <w:rsid w:val="62B92A90"/>
    <w:rsid w:val="62C61C59"/>
    <w:rsid w:val="62D45BBE"/>
    <w:rsid w:val="62D80B65"/>
    <w:rsid w:val="62D81168"/>
    <w:rsid w:val="62DA4EE0"/>
    <w:rsid w:val="62DB10AB"/>
    <w:rsid w:val="62DE1AD7"/>
    <w:rsid w:val="62E3395B"/>
    <w:rsid w:val="62F64477"/>
    <w:rsid w:val="6300309A"/>
    <w:rsid w:val="630F11E3"/>
    <w:rsid w:val="63164A25"/>
    <w:rsid w:val="631657EC"/>
    <w:rsid w:val="63201777"/>
    <w:rsid w:val="632048BD"/>
    <w:rsid w:val="633345F0"/>
    <w:rsid w:val="63343EC4"/>
    <w:rsid w:val="634B193A"/>
    <w:rsid w:val="635527B8"/>
    <w:rsid w:val="63585281"/>
    <w:rsid w:val="635F7193"/>
    <w:rsid w:val="63685EDB"/>
    <w:rsid w:val="637C7D45"/>
    <w:rsid w:val="6381535B"/>
    <w:rsid w:val="6382702F"/>
    <w:rsid w:val="638D246E"/>
    <w:rsid w:val="63953356"/>
    <w:rsid w:val="63A04377"/>
    <w:rsid w:val="63A50590"/>
    <w:rsid w:val="63AB062A"/>
    <w:rsid w:val="63BC6393"/>
    <w:rsid w:val="63CD61C0"/>
    <w:rsid w:val="63CE39C3"/>
    <w:rsid w:val="63D062E3"/>
    <w:rsid w:val="63D7141F"/>
    <w:rsid w:val="63D75BF2"/>
    <w:rsid w:val="63E74EFB"/>
    <w:rsid w:val="63EB1361"/>
    <w:rsid w:val="63EE0517"/>
    <w:rsid w:val="63F20007"/>
    <w:rsid w:val="63FD1928"/>
    <w:rsid w:val="640015A2"/>
    <w:rsid w:val="64025D70"/>
    <w:rsid w:val="64032214"/>
    <w:rsid w:val="64095351"/>
    <w:rsid w:val="641E0DFC"/>
    <w:rsid w:val="64373C6C"/>
    <w:rsid w:val="64520AA6"/>
    <w:rsid w:val="64542A70"/>
    <w:rsid w:val="645C36D2"/>
    <w:rsid w:val="645E678E"/>
    <w:rsid w:val="645F6C43"/>
    <w:rsid w:val="64636E47"/>
    <w:rsid w:val="6464274A"/>
    <w:rsid w:val="64664551"/>
    <w:rsid w:val="646A5DEF"/>
    <w:rsid w:val="64771E53"/>
    <w:rsid w:val="6477675E"/>
    <w:rsid w:val="64794284"/>
    <w:rsid w:val="647E20C5"/>
    <w:rsid w:val="64833306"/>
    <w:rsid w:val="64865139"/>
    <w:rsid w:val="64947310"/>
    <w:rsid w:val="649E018F"/>
    <w:rsid w:val="64A77044"/>
    <w:rsid w:val="64A82DBC"/>
    <w:rsid w:val="64A85E3B"/>
    <w:rsid w:val="64B47FC7"/>
    <w:rsid w:val="64C27987"/>
    <w:rsid w:val="64C5571C"/>
    <w:rsid w:val="64C74ABC"/>
    <w:rsid w:val="64D70FAB"/>
    <w:rsid w:val="64DB0A9B"/>
    <w:rsid w:val="64DD4813"/>
    <w:rsid w:val="64FF0C2E"/>
    <w:rsid w:val="650C6EA7"/>
    <w:rsid w:val="650D2C1F"/>
    <w:rsid w:val="65136487"/>
    <w:rsid w:val="6522491C"/>
    <w:rsid w:val="652A557F"/>
    <w:rsid w:val="652E1625"/>
    <w:rsid w:val="6535409A"/>
    <w:rsid w:val="65380A57"/>
    <w:rsid w:val="653B3C30"/>
    <w:rsid w:val="65491EA9"/>
    <w:rsid w:val="654E5711"/>
    <w:rsid w:val="65565F85"/>
    <w:rsid w:val="6558241F"/>
    <w:rsid w:val="655C1BF7"/>
    <w:rsid w:val="655F347A"/>
    <w:rsid w:val="65735178"/>
    <w:rsid w:val="657809E0"/>
    <w:rsid w:val="657B25FD"/>
    <w:rsid w:val="658630FD"/>
    <w:rsid w:val="65886918"/>
    <w:rsid w:val="659A2704"/>
    <w:rsid w:val="65A90B99"/>
    <w:rsid w:val="65AE61B0"/>
    <w:rsid w:val="65B17A4E"/>
    <w:rsid w:val="65BF03BD"/>
    <w:rsid w:val="65CB6D62"/>
    <w:rsid w:val="65DA51F7"/>
    <w:rsid w:val="65DD36C7"/>
    <w:rsid w:val="65E56F16"/>
    <w:rsid w:val="65E6594A"/>
    <w:rsid w:val="65E6625E"/>
    <w:rsid w:val="65EB7404"/>
    <w:rsid w:val="65F242EE"/>
    <w:rsid w:val="65F31E15"/>
    <w:rsid w:val="65F876EF"/>
    <w:rsid w:val="66112603"/>
    <w:rsid w:val="661634DD"/>
    <w:rsid w:val="66195D1F"/>
    <w:rsid w:val="66236B9E"/>
    <w:rsid w:val="6624513D"/>
    <w:rsid w:val="662678D0"/>
    <w:rsid w:val="66291CDA"/>
    <w:rsid w:val="662E405E"/>
    <w:rsid w:val="66415276"/>
    <w:rsid w:val="664D0CD3"/>
    <w:rsid w:val="667332A5"/>
    <w:rsid w:val="66846F11"/>
    <w:rsid w:val="668B029F"/>
    <w:rsid w:val="668B4D21"/>
    <w:rsid w:val="66AB5CA6"/>
    <w:rsid w:val="66AC3A39"/>
    <w:rsid w:val="66B45B54"/>
    <w:rsid w:val="66DA3E7F"/>
    <w:rsid w:val="66DB2643"/>
    <w:rsid w:val="66E8749F"/>
    <w:rsid w:val="67171AF4"/>
    <w:rsid w:val="671D3B48"/>
    <w:rsid w:val="67216B91"/>
    <w:rsid w:val="6740552D"/>
    <w:rsid w:val="675039C2"/>
    <w:rsid w:val="675B5EC3"/>
    <w:rsid w:val="675C1913"/>
    <w:rsid w:val="675F3C06"/>
    <w:rsid w:val="67651CA7"/>
    <w:rsid w:val="67654F94"/>
    <w:rsid w:val="676669E2"/>
    <w:rsid w:val="67694A84"/>
    <w:rsid w:val="677355F1"/>
    <w:rsid w:val="677F0A87"/>
    <w:rsid w:val="677F2B8C"/>
    <w:rsid w:val="67802E8A"/>
    <w:rsid w:val="678B6B8F"/>
    <w:rsid w:val="67900263"/>
    <w:rsid w:val="679518B4"/>
    <w:rsid w:val="679D17E1"/>
    <w:rsid w:val="679F2254"/>
    <w:rsid w:val="67A05FCC"/>
    <w:rsid w:val="67B11A97"/>
    <w:rsid w:val="67B26358"/>
    <w:rsid w:val="67BD092C"/>
    <w:rsid w:val="67BD786A"/>
    <w:rsid w:val="67BF28F6"/>
    <w:rsid w:val="67C1041C"/>
    <w:rsid w:val="67C63C85"/>
    <w:rsid w:val="67D5211A"/>
    <w:rsid w:val="67DF4D46"/>
    <w:rsid w:val="67ED57A5"/>
    <w:rsid w:val="67F85E08"/>
    <w:rsid w:val="681E586F"/>
    <w:rsid w:val="682B38DE"/>
    <w:rsid w:val="682E35D8"/>
    <w:rsid w:val="68307350"/>
    <w:rsid w:val="68386205"/>
    <w:rsid w:val="683E2FE1"/>
    <w:rsid w:val="683F10C0"/>
    <w:rsid w:val="684252A0"/>
    <w:rsid w:val="68475AD3"/>
    <w:rsid w:val="684D3A5E"/>
    <w:rsid w:val="68587265"/>
    <w:rsid w:val="685A43CD"/>
    <w:rsid w:val="68664B20"/>
    <w:rsid w:val="686E1C26"/>
    <w:rsid w:val="68784853"/>
    <w:rsid w:val="687900E2"/>
    <w:rsid w:val="687A1460"/>
    <w:rsid w:val="688B6AF0"/>
    <w:rsid w:val="68907DEF"/>
    <w:rsid w:val="689C6793"/>
    <w:rsid w:val="689F0032"/>
    <w:rsid w:val="68AF64C7"/>
    <w:rsid w:val="68B10F1F"/>
    <w:rsid w:val="68B57855"/>
    <w:rsid w:val="68BF2482"/>
    <w:rsid w:val="68D202CD"/>
    <w:rsid w:val="68F777BE"/>
    <w:rsid w:val="68FD418F"/>
    <w:rsid w:val="68FF2017"/>
    <w:rsid w:val="69085BD7"/>
    <w:rsid w:val="69101BF9"/>
    <w:rsid w:val="69196036"/>
    <w:rsid w:val="69270753"/>
    <w:rsid w:val="692C7B17"/>
    <w:rsid w:val="693410C2"/>
    <w:rsid w:val="69342E70"/>
    <w:rsid w:val="69382150"/>
    <w:rsid w:val="694252DE"/>
    <w:rsid w:val="6950563A"/>
    <w:rsid w:val="6955253A"/>
    <w:rsid w:val="69594684"/>
    <w:rsid w:val="695A04E1"/>
    <w:rsid w:val="69635503"/>
    <w:rsid w:val="696D71B6"/>
    <w:rsid w:val="69766CFC"/>
    <w:rsid w:val="6976722C"/>
    <w:rsid w:val="697B284D"/>
    <w:rsid w:val="69931D91"/>
    <w:rsid w:val="69975FE7"/>
    <w:rsid w:val="69A2602B"/>
    <w:rsid w:val="69A43B52"/>
    <w:rsid w:val="69B663F6"/>
    <w:rsid w:val="69B92CA5"/>
    <w:rsid w:val="69C84588"/>
    <w:rsid w:val="69C97A5C"/>
    <w:rsid w:val="69CF4947"/>
    <w:rsid w:val="69DD52B6"/>
    <w:rsid w:val="69E139CC"/>
    <w:rsid w:val="69E46644"/>
    <w:rsid w:val="69F510FD"/>
    <w:rsid w:val="69F83E9D"/>
    <w:rsid w:val="69FE3510"/>
    <w:rsid w:val="6A1707C7"/>
    <w:rsid w:val="6A242EE4"/>
    <w:rsid w:val="6A2E3D63"/>
    <w:rsid w:val="6A3749C6"/>
    <w:rsid w:val="6A3E4ADA"/>
    <w:rsid w:val="6A3F7D1E"/>
    <w:rsid w:val="6A42336B"/>
    <w:rsid w:val="6A5A4B58"/>
    <w:rsid w:val="6A5C1B5A"/>
    <w:rsid w:val="6A633A0D"/>
    <w:rsid w:val="6A6A2389"/>
    <w:rsid w:val="6A6B0B13"/>
    <w:rsid w:val="6A6B24C6"/>
    <w:rsid w:val="6A723C50"/>
    <w:rsid w:val="6A731776"/>
    <w:rsid w:val="6A7A48B2"/>
    <w:rsid w:val="6A8A71EB"/>
    <w:rsid w:val="6A8D6CDC"/>
    <w:rsid w:val="6A9A31A7"/>
    <w:rsid w:val="6AA47B81"/>
    <w:rsid w:val="6AAF4B97"/>
    <w:rsid w:val="6AAF4F62"/>
    <w:rsid w:val="6AD246EE"/>
    <w:rsid w:val="6AD95A7D"/>
    <w:rsid w:val="6AE10DD5"/>
    <w:rsid w:val="6AEB5192"/>
    <w:rsid w:val="6AF8327D"/>
    <w:rsid w:val="6B117FB4"/>
    <w:rsid w:val="6B160A7F"/>
    <w:rsid w:val="6B363ECA"/>
    <w:rsid w:val="6B5D66AE"/>
    <w:rsid w:val="6B624E0E"/>
    <w:rsid w:val="6B633598"/>
    <w:rsid w:val="6B6D2669"/>
    <w:rsid w:val="6B71426E"/>
    <w:rsid w:val="6B7D1420"/>
    <w:rsid w:val="6B80239C"/>
    <w:rsid w:val="6B824366"/>
    <w:rsid w:val="6B9134E8"/>
    <w:rsid w:val="6B9145AA"/>
    <w:rsid w:val="6B9710C2"/>
    <w:rsid w:val="6BA047ED"/>
    <w:rsid w:val="6BA4408F"/>
    <w:rsid w:val="6BAC37B5"/>
    <w:rsid w:val="6BAC687B"/>
    <w:rsid w:val="6BB40298"/>
    <w:rsid w:val="6BBD323E"/>
    <w:rsid w:val="6BC0784B"/>
    <w:rsid w:val="6BFB5EC7"/>
    <w:rsid w:val="6BFC2F20"/>
    <w:rsid w:val="6C027FEC"/>
    <w:rsid w:val="6C16685D"/>
    <w:rsid w:val="6C30791F"/>
    <w:rsid w:val="6C3371C3"/>
    <w:rsid w:val="6C3C24FC"/>
    <w:rsid w:val="6C3D1B53"/>
    <w:rsid w:val="6C472C65"/>
    <w:rsid w:val="6C517895"/>
    <w:rsid w:val="6C592A7B"/>
    <w:rsid w:val="6C5E5098"/>
    <w:rsid w:val="6C673EBC"/>
    <w:rsid w:val="6C807BE7"/>
    <w:rsid w:val="6C8D2FC3"/>
    <w:rsid w:val="6C937EAD"/>
    <w:rsid w:val="6CA200F0"/>
    <w:rsid w:val="6CBE13CE"/>
    <w:rsid w:val="6CC12C6C"/>
    <w:rsid w:val="6CC26B62"/>
    <w:rsid w:val="6CD01102"/>
    <w:rsid w:val="6CDC1854"/>
    <w:rsid w:val="6CE10C19"/>
    <w:rsid w:val="6CE60597"/>
    <w:rsid w:val="6CE77FAE"/>
    <w:rsid w:val="6CF0562D"/>
    <w:rsid w:val="6CF90658"/>
    <w:rsid w:val="6CF976F2"/>
    <w:rsid w:val="6CFC3CA5"/>
    <w:rsid w:val="6D06067F"/>
    <w:rsid w:val="6D1014FE"/>
    <w:rsid w:val="6D2A6A64"/>
    <w:rsid w:val="6D2D0302"/>
    <w:rsid w:val="6D325918"/>
    <w:rsid w:val="6D34343E"/>
    <w:rsid w:val="6D364F55"/>
    <w:rsid w:val="6D3F3B91"/>
    <w:rsid w:val="6D48513C"/>
    <w:rsid w:val="6D5238C5"/>
    <w:rsid w:val="6D6D6950"/>
    <w:rsid w:val="6D6F091A"/>
    <w:rsid w:val="6D8F4B19"/>
    <w:rsid w:val="6D974238"/>
    <w:rsid w:val="6DAA3701"/>
    <w:rsid w:val="6DB27469"/>
    <w:rsid w:val="6DB602F7"/>
    <w:rsid w:val="6DB66549"/>
    <w:rsid w:val="6DBC3572"/>
    <w:rsid w:val="6DC72505"/>
    <w:rsid w:val="6DC76061"/>
    <w:rsid w:val="6DD32CB8"/>
    <w:rsid w:val="6DD74585"/>
    <w:rsid w:val="6E035733"/>
    <w:rsid w:val="6E114503"/>
    <w:rsid w:val="6E1864D0"/>
    <w:rsid w:val="6E1F7C4B"/>
    <w:rsid w:val="6E2039C3"/>
    <w:rsid w:val="6E2E4332"/>
    <w:rsid w:val="6E3E5BBA"/>
    <w:rsid w:val="6E470F4F"/>
    <w:rsid w:val="6E492F1A"/>
    <w:rsid w:val="6E511DCE"/>
    <w:rsid w:val="6E5E6A26"/>
    <w:rsid w:val="6E645FA5"/>
    <w:rsid w:val="6E737F96"/>
    <w:rsid w:val="6EA559DC"/>
    <w:rsid w:val="6EAC1DA8"/>
    <w:rsid w:val="6EAC5256"/>
    <w:rsid w:val="6EAD3CB0"/>
    <w:rsid w:val="6EB04587"/>
    <w:rsid w:val="6EB83BFB"/>
    <w:rsid w:val="6EBF4EC7"/>
    <w:rsid w:val="6EC72090"/>
    <w:rsid w:val="6ED24CBD"/>
    <w:rsid w:val="6ED74828"/>
    <w:rsid w:val="6ED749C9"/>
    <w:rsid w:val="6EF8049C"/>
    <w:rsid w:val="6EF83A80"/>
    <w:rsid w:val="6F15531C"/>
    <w:rsid w:val="6F1C418A"/>
    <w:rsid w:val="6F2A4AF9"/>
    <w:rsid w:val="6F4D4778"/>
    <w:rsid w:val="6F4E359B"/>
    <w:rsid w:val="6F5405A1"/>
    <w:rsid w:val="6F566A61"/>
    <w:rsid w:val="6F5B1156"/>
    <w:rsid w:val="6F5B5873"/>
    <w:rsid w:val="6F5E29F5"/>
    <w:rsid w:val="6F6876F5"/>
    <w:rsid w:val="6F6A1399"/>
    <w:rsid w:val="6F910371"/>
    <w:rsid w:val="6F911144"/>
    <w:rsid w:val="6F986F09"/>
    <w:rsid w:val="6F9D7B0B"/>
    <w:rsid w:val="6FA50EB3"/>
    <w:rsid w:val="6FA67EF8"/>
    <w:rsid w:val="6FAD1286"/>
    <w:rsid w:val="6FD131C7"/>
    <w:rsid w:val="6FDB4584"/>
    <w:rsid w:val="6FFB6495"/>
    <w:rsid w:val="700215D2"/>
    <w:rsid w:val="700370F8"/>
    <w:rsid w:val="700969CD"/>
    <w:rsid w:val="700F0193"/>
    <w:rsid w:val="70180DF5"/>
    <w:rsid w:val="7019691C"/>
    <w:rsid w:val="70207CAA"/>
    <w:rsid w:val="702753B9"/>
    <w:rsid w:val="7029219E"/>
    <w:rsid w:val="70411AF6"/>
    <w:rsid w:val="704321AD"/>
    <w:rsid w:val="70473489"/>
    <w:rsid w:val="704776D5"/>
    <w:rsid w:val="70497814"/>
    <w:rsid w:val="704F42A8"/>
    <w:rsid w:val="705B5186"/>
    <w:rsid w:val="707439C0"/>
    <w:rsid w:val="70876E0C"/>
    <w:rsid w:val="708B18D9"/>
    <w:rsid w:val="708B7E66"/>
    <w:rsid w:val="70A703CB"/>
    <w:rsid w:val="70B00A34"/>
    <w:rsid w:val="70B54896"/>
    <w:rsid w:val="70C20D61"/>
    <w:rsid w:val="70D1356D"/>
    <w:rsid w:val="70E71FE8"/>
    <w:rsid w:val="70E84C6C"/>
    <w:rsid w:val="70F52EE5"/>
    <w:rsid w:val="70F80C27"/>
    <w:rsid w:val="70F95124"/>
    <w:rsid w:val="71015421"/>
    <w:rsid w:val="7104137A"/>
    <w:rsid w:val="7104344F"/>
    <w:rsid w:val="7107736C"/>
    <w:rsid w:val="71092E34"/>
    <w:rsid w:val="710B44B6"/>
    <w:rsid w:val="7130216F"/>
    <w:rsid w:val="71324139"/>
    <w:rsid w:val="71463740"/>
    <w:rsid w:val="71494EB2"/>
    <w:rsid w:val="71494FDF"/>
    <w:rsid w:val="714D3618"/>
    <w:rsid w:val="7150636D"/>
    <w:rsid w:val="715C7408"/>
    <w:rsid w:val="71606B45"/>
    <w:rsid w:val="716B764B"/>
    <w:rsid w:val="716C2FE2"/>
    <w:rsid w:val="71764237"/>
    <w:rsid w:val="718030F6"/>
    <w:rsid w:val="71851F98"/>
    <w:rsid w:val="719F6508"/>
    <w:rsid w:val="71C01D26"/>
    <w:rsid w:val="71C1726B"/>
    <w:rsid w:val="71C70874"/>
    <w:rsid w:val="71C948BD"/>
    <w:rsid w:val="71D421BB"/>
    <w:rsid w:val="71DD0E49"/>
    <w:rsid w:val="71E511AB"/>
    <w:rsid w:val="71ED0060"/>
    <w:rsid w:val="71F907B3"/>
    <w:rsid w:val="71FD64F5"/>
    <w:rsid w:val="71FF7CE7"/>
    <w:rsid w:val="722A4E10"/>
    <w:rsid w:val="722B78DF"/>
    <w:rsid w:val="72343EE1"/>
    <w:rsid w:val="723605E3"/>
    <w:rsid w:val="723F6E4C"/>
    <w:rsid w:val="725105EF"/>
    <w:rsid w:val="72530CDD"/>
    <w:rsid w:val="72600832"/>
    <w:rsid w:val="726966B2"/>
    <w:rsid w:val="728409C4"/>
    <w:rsid w:val="728707AC"/>
    <w:rsid w:val="72881089"/>
    <w:rsid w:val="728C339C"/>
    <w:rsid w:val="728D39AD"/>
    <w:rsid w:val="729130E1"/>
    <w:rsid w:val="7297410F"/>
    <w:rsid w:val="72993030"/>
    <w:rsid w:val="72A76EFF"/>
    <w:rsid w:val="72A81935"/>
    <w:rsid w:val="72A9042B"/>
    <w:rsid w:val="72AF39B7"/>
    <w:rsid w:val="72B40FC4"/>
    <w:rsid w:val="72B4231B"/>
    <w:rsid w:val="72B56DC0"/>
    <w:rsid w:val="72BA2EF4"/>
    <w:rsid w:val="72BD3ED6"/>
    <w:rsid w:val="72C77035"/>
    <w:rsid w:val="72C96C35"/>
    <w:rsid w:val="72D52FCE"/>
    <w:rsid w:val="72D57DA8"/>
    <w:rsid w:val="72E500CF"/>
    <w:rsid w:val="72E66F89"/>
    <w:rsid w:val="72F571CC"/>
    <w:rsid w:val="72FA5089"/>
    <w:rsid w:val="72FF629D"/>
    <w:rsid w:val="730327DF"/>
    <w:rsid w:val="73121823"/>
    <w:rsid w:val="7318110C"/>
    <w:rsid w:val="731F07D3"/>
    <w:rsid w:val="73247AB1"/>
    <w:rsid w:val="732D2E0A"/>
    <w:rsid w:val="732E6B82"/>
    <w:rsid w:val="733F2B3D"/>
    <w:rsid w:val="73401D54"/>
    <w:rsid w:val="734340F6"/>
    <w:rsid w:val="73481CAD"/>
    <w:rsid w:val="734D39EB"/>
    <w:rsid w:val="73545958"/>
    <w:rsid w:val="73625D15"/>
    <w:rsid w:val="736425A4"/>
    <w:rsid w:val="73734D81"/>
    <w:rsid w:val="7374468E"/>
    <w:rsid w:val="7379604F"/>
    <w:rsid w:val="73801F1C"/>
    <w:rsid w:val="73852C46"/>
    <w:rsid w:val="7386076C"/>
    <w:rsid w:val="738701F5"/>
    <w:rsid w:val="73970283"/>
    <w:rsid w:val="73A03636"/>
    <w:rsid w:val="73A11102"/>
    <w:rsid w:val="73A806E2"/>
    <w:rsid w:val="73AA56D5"/>
    <w:rsid w:val="73AB01D2"/>
    <w:rsid w:val="73B057E9"/>
    <w:rsid w:val="73B726D3"/>
    <w:rsid w:val="73D33A2E"/>
    <w:rsid w:val="73E07E7C"/>
    <w:rsid w:val="73E57241"/>
    <w:rsid w:val="73FE1CD4"/>
    <w:rsid w:val="73FF259D"/>
    <w:rsid w:val="7400051E"/>
    <w:rsid w:val="740D0D0B"/>
    <w:rsid w:val="740F250F"/>
    <w:rsid w:val="74145D78"/>
    <w:rsid w:val="741E3826"/>
    <w:rsid w:val="742A203E"/>
    <w:rsid w:val="7435705B"/>
    <w:rsid w:val="74390286"/>
    <w:rsid w:val="74417CB7"/>
    <w:rsid w:val="74491D50"/>
    <w:rsid w:val="745D771F"/>
    <w:rsid w:val="74624D35"/>
    <w:rsid w:val="746960C4"/>
    <w:rsid w:val="746A1E3C"/>
    <w:rsid w:val="746F2FAE"/>
    <w:rsid w:val="74704598"/>
    <w:rsid w:val="7480340D"/>
    <w:rsid w:val="7487479C"/>
    <w:rsid w:val="74900D7C"/>
    <w:rsid w:val="74934EEE"/>
    <w:rsid w:val="749A2212"/>
    <w:rsid w:val="749D33EB"/>
    <w:rsid w:val="74A24DD9"/>
    <w:rsid w:val="74AA048A"/>
    <w:rsid w:val="74B3733F"/>
    <w:rsid w:val="74B54F0F"/>
    <w:rsid w:val="74B60BDD"/>
    <w:rsid w:val="74B92EE5"/>
    <w:rsid w:val="74BF3F35"/>
    <w:rsid w:val="74C94DB4"/>
    <w:rsid w:val="74CC6652"/>
    <w:rsid w:val="74DC4AE7"/>
    <w:rsid w:val="74DF2DE4"/>
    <w:rsid w:val="74E41BEE"/>
    <w:rsid w:val="74F55BA9"/>
    <w:rsid w:val="74F71921"/>
    <w:rsid w:val="74F769B5"/>
    <w:rsid w:val="75051A21"/>
    <w:rsid w:val="75096153"/>
    <w:rsid w:val="751B4EE4"/>
    <w:rsid w:val="7521699E"/>
    <w:rsid w:val="752244C4"/>
    <w:rsid w:val="75241FEA"/>
    <w:rsid w:val="7524485E"/>
    <w:rsid w:val="7531597A"/>
    <w:rsid w:val="75371D1E"/>
    <w:rsid w:val="75383CE8"/>
    <w:rsid w:val="75387844"/>
    <w:rsid w:val="753B58D8"/>
    <w:rsid w:val="753C5586"/>
    <w:rsid w:val="753F5076"/>
    <w:rsid w:val="755C1784"/>
    <w:rsid w:val="756B19C7"/>
    <w:rsid w:val="756B50CF"/>
    <w:rsid w:val="75846F2D"/>
    <w:rsid w:val="758B3EF3"/>
    <w:rsid w:val="758F1B5A"/>
    <w:rsid w:val="759251A6"/>
    <w:rsid w:val="75AB44BA"/>
    <w:rsid w:val="75AE7B06"/>
    <w:rsid w:val="75B07182"/>
    <w:rsid w:val="75B25848"/>
    <w:rsid w:val="75CB690A"/>
    <w:rsid w:val="75D237F5"/>
    <w:rsid w:val="75D330A5"/>
    <w:rsid w:val="75D45215"/>
    <w:rsid w:val="75D91027"/>
    <w:rsid w:val="75E1200D"/>
    <w:rsid w:val="75E8126A"/>
    <w:rsid w:val="75EA6D90"/>
    <w:rsid w:val="75F61424"/>
    <w:rsid w:val="75FB4954"/>
    <w:rsid w:val="75FE6CDF"/>
    <w:rsid w:val="76053BCA"/>
    <w:rsid w:val="760F2C9B"/>
    <w:rsid w:val="761107C1"/>
    <w:rsid w:val="76197675"/>
    <w:rsid w:val="7621652A"/>
    <w:rsid w:val="762D3121"/>
    <w:rsid w:val="763224E5"/>
    <w:rsid w:val="76622450"/>
    <w:rsid w:val="76655CDA"/>
    <w:rsid w:val="766F7295"/>
    <w:rsid w:val="767F51B6"/>
    <w:rsid w:val="76976308"/>
    <w:rsid w:val="76A37A9E"/>
    <w:rsid w:val="76A50F09"/>
    <w:rsid w:val="76B34C4E"/>
    <w:rsid w:val="76BD26F7"/>
    <w:rsid w:val="76C27D0D"/>
    <w:rsid w:val="76C770D1"/>
    <w:rsid w:val="76CF5F86"/>
    <w:rsid w:val="76D161A2"/>
    <w:rsid w:val="76D23D43"/>
    <w:rsid w:val="76EA1469"/>
    <w:rsid w:val="77065350"/>
    <w:rsid w:val="77080EF0"/>
    <w:rsid w:val="770E091C"/>
    <w:rsid w:val="771147F0"/>
    <w:rsid w:val="771B3CA7"/>
    <w:rsid w:val="7733072E"/>
    <w:rsid w:val="77334767"/>
    <w:rsid w:val="774626EC"/>
    <w:rsid w:val="77534E09"/>
    <w:rsid w:val="77661F8B"/>
    <w:rsid w:val="77672662"/>
    <w:rsid w:val="776B3F01"/>
    <w:rsid w:val="77732DB5"/>
    <w:rsid w:val="77844FC2"/>
    <w:rsid w:val="778A59B5"/>
    <w:rsid w:val="778B6351"/>
    <w:rsid w:val="778D568F"/>
    <w:rsid w:val="77902287"/>
    <w:rsid w:val="7794668A"/>
    <w:rsid w:val="779F3BAA"/>
    <w:rsid w:val="77B20BAB"/>
    <w:rsid w:val="77B21B30"/>
    <w:rsid w:val="77BA09E4"/>
    <w:rsid w:val="77C27899"/>
    <w:rsid w:val="77C4134A"/>
    <w:rsid w:val="77C43611"/>
    <w:rsid w:val="77E51F05"/>
    <w:rsid w:val="77EC0578"/>
    <w:rsid w:val="77EC6E36"/>
    <w:rsid w:val="77ED54CC"/>
    <w:rsid w:val="77F04406"/>
    <w:rsid w:val="77F40047"/>
    <w:rsid w:val="77F75794"/>
    <w:rsid w:val="77FF5BD3"/>
    <w:rsid w:val="78145A97"/>
    <w:rsid w:val="78151414"/>
    <w:rsid w:val="781E71C5"/>
    <w:rsid w:val="782319A7"/>
    <w:rsid w:val="78236589"/>
    <w:rsid w:val="782D11B6"/>
    <w:rsid w:val="78301E22"/>
    <w:rsid w:val="784237A9"/>
    <w:rsid w:val="78434E7D"/>
    <w:rsid w:val="7859644F"/>
    <w:rsid w:val="7860333A"/>
    <w:rsid w:val="78615304"/>
    <w:rsid w:val="7863621B"/>
    <w:rsid w:val="78680440"/>
    <w:rsid w:val="786A4F20"/>
    <w:rsid w:val="7879647A"/>
    <w:rsid w:val="787D414A"/>
    <w:rsid w:val="7883527A"/>
    <w:rsid w:val="78847229"/>
    <w:rsid w:val="78891E18"/>
    <w:rsid w:val="789169AE"/>
    <w:rsid w:val="789B0617"/>
    <w:rsid w:val="789E3E62"/>
    <w:rsid w:val="789F62CD"/>
    <w:rsid w:val="78A21BA4"/>
    <w:rsid w:val="78A70F68"/>
    <w:rsid w:val="78B47B29"/>
    <w:rsid w:val="78C338C8"/>
    <w:rsid w:val="78C7785D"/>
    <w:rsid w:val="78CE2999"/>
    <w:rsid w:val="78D01458"/>
    <w:rsid w:val="78D43D28"/>
    <w:rsid w:val="78D53E2B"/>
    <w:rsid w:val="78D94074"/>
    <w:rsid w:val="78DF0554"/>
    <w:rsid w:val="78E0091E"/>
    <w:rsid w:val="78EE4DE9"/>
    <w:rsid w:val="78FA19E0"/>
    <w:rsid w:val="78FB5FE1"/>
    <w:rsid w:val="78FE5488"/>
    <w:rsid w:val="790243F1"/>
    <w:rsid w:val="79144124"/>
    <w:rsid w:val="791C6DE4"/>
    <w:rsid w:val="791D663A"/>
    <w:rsid w:val="79261937"/>
    <w:rsid w:val="79324503"/>
    <w:rsid w:val="793265D1"/>
    <w:rsid w:val="793B3DA7"/>
    <w:rsid w:val="793B7903"/>
    <w:rsid w:val="79442C5B"/>
    <w:rsid w:val="794E3ADA"/>
    <w:rsid w:val="79501AEB"/>
    <w:rsid w:val="795E1A22"/>
    <w:rsid w:val="79664F44"/>
    <w:rsid w:val="79701CA2"/>
    <w:rsid w:val="79725A1A"/>
    <w:rsid w:val="797A4E0C"/>
    <w:rsid w:val="797A667D"/>
    <w:rsid w:val="79825532"/>
    <w:rsid w:val="798E5D12"/>
    <w:rsid w:val="7999784E"/>
    <w:rsid w:val="799F60E4"/>
    <w:rsid w:val="79A161A1"/>
    <w:rsid w:val="79A74F98"/>
    <w:rsid w:val="79B0209F"/>
    <w:rsid w:val="79B07831"/>
    <w:rsid w:val="79B871A5"/>
    <w:rsid w:val="79BB2152"/>
    <w:rsid w:val="79BD47BC"/>
    <w:rsid w:val="79BD656A"/>
    <w:rsid w:val="79C1605A"/>
    <w:rsid w:val="79C421B0"/>
    <w:rsid w:val="79CA1689"/>
    <w:rsid w:val="79D264B9"/>
    <w:rsid w:val="79D57D57"/>
    <w:rsid w:val="79DC6E02"/>
    <w:rsid w:val="79E1494E"/>
    <w:rsid w:val="79FF6B82"/>
    <w:rsid w:val="7A1620C1"/>
    <w:rsid w:val="7A17211E"/>
    <w:rsid w:val="7A1E363B"/>
    <w:rsid w:val="7A205476"/>
    <w:rsid w:val="7A2110DE"/>
    <w:rsid w:val="7A232871"/>
    <w:rsid w:val="7A2A5D54"/>
    <w:rsid w:val="7A2C0B6E"/>
    <w:rsid w:val="7A375D19"/>
    <w:rsid w:val="7A396538"/>
    <w:rsid w:val="7A41540D"/>
    <w:rsid w:val="7A462A03"/>
    <w:rsid w:val="7A487221"/>
    <w:rsid w:val="7A4B5272"/>
    <w:rsid w:val="7A4C6815"/>
    <w:rsid w:val="7A543179"/>
    <w:rsid w:val="7A5A200A"/>
    <w:rsid w:val="7A6A04A0"/>
    <w:rsid w:val="7A6C06BC"/>
    <w:rsid w:val="7A757471"/>
    <w:rsid w:val="7A7D2A03"/>
    <w:rsid w:val="7A84558B"/>
    <w:rsid w:val="7A8A6D94"/>
    <w:rsid w:val="7A8F43AA"/>
    <w:rsid w:val="7A980609"/>
    <w:rsid w:val="7A9C6170"/>
    <w:rsid w:val="7AA66659"/>
    <w:rsid w:val="7AB43E11"/>
    <w:rsid w:val="7AB4796D"/>
    <w:rsid w:val="7AB93CB9"/>
    <w:rsid w:val="7ABC51E6"/>
    <w:rsid w:val="7AC758F2"/>
    <w:rsid w:val="7ACB4CB6"/>
    <w:rsid w:val="7AD028F8"/>
    <w:rsid w:val="7AD41DBD"/>
    <w:rsid w:val="7ADB75EF"/>
    <w:rsid w:val="7AE067CF"/>
    <w:rsid w:val="7AEC35AA"/>
    <w:rsid w:val="7AED730A"/>
    <w:rsid w:val="7AEF4E49"/>
    <w:rsid w:val="7AFE7ADE"/>
    <w:rsid w:val="7B022DCE"/>
    <w:rsid w:val="7B1D7C08"/>
    <w:rsid w:val="7B2D20C3"/>
    <w:rsid w:val="7B2E771F"/>
    <w:rsid w:val="7B3A3FDF"/>
    <w:rsid w:val="7B430CF1"/>
    <w:rsid w:val="7B4C1BE3"/>
    <w:rsid w:val="7B4E1B6F"/>
    <w:rsid w:val="7B5542FF"/>
    <w:rsid w:val="7B5B081D"/>
    <w:rsid w:val="7B603BD1"/>
    <w:rsid w:val="7B656EB9"/>
    <w:rsid w:val="7B66556C"/>
    <w:rsid w:val="7B6966EE"/>
    <w:rsid w:val="7B6A2721"/>
    <w:rsid w:val="7B6A303B"/>
    <w:rsid w:val="7B992269"/>
    <w:rsid w:val="7BA63759"/>
    <w:rsid w:val="7BA7127F"/>
    <w:rsid w:val="7BAC72C4"/>
    <w:rsid w:val="7BC260B9"/>
    <w:rsid w:val="7BDD1E8F"/>
    <w:rsid w:val="7BE776C3"/>
    <w:rsid w:val="7BF32717"/>
    <w:rsid w:val="7BF82EE8"/>
    <w:rsid w:val="7C092C88"/>
    <w:rsid w:val="7C0B180E"/>
    <w:rsid w:val="7C2072C0"/>
    <w:rsid w:val="7C252D67"/>
    <w:rsid w:val="7C26489A"/>
    <w:rsid w:val="7C3D3129"/>
    <w:rsid w:val="7C5F7FD9"/>
    <w:rsid w:val="7C6A0DE1"/>
    <w:rsid w:val="7C6B6751"/>
    <w:rsid w:val="7C6C7F23"/>
    <w:rsid w:val="7C6F4493"/>
    <w:rsid w:val="7C7837CA"/>
    <w:rsid w:val="7C843195"/>
    <w:rsid w:val="7C887303"/>
    <w:rsid w:val="7C8A4E29"/>
    <w:rsid w:val="7C9A631E"/>
    <w:rsid w:val="7C9C4B5C"/>
    <w:rsid w:val="7C9E0610"/>
    <w:rsid w:val="7CA0289E"/>
    <w:rsid w:val="7CA35EEB"/>
    <w:rsid w:val="7CC00F45"/>
    <w:rsid w:val="7CC12815"/>
    <w:rsid w:val="7CCF2EB2"/>
    <w:rsid w:val="7CCF51E3"/>
    <w:rsid w:val="7CE00EED"/>
    <w:rsid w:val="7CEF1130"/>
    <w:rsid w:val="7CFE5817"/>
    <w:rsid w:val="7D020E63"/>
    <w:rsid w:val="7D032E2D"/>
    <w:rsid w:val="7D060228"/>
    <w:rsid w:val="7D1943FF"/>
    <w:rsid w:val="7D1957FC"/>
    <w:rsid w:val="7D2326ED"/>
    <w:rsid w:val="7D2C4132"/>
    <w:rsid w:val="7D2F2DA4"/>
    <w:rsid w:val="7D4C0330"/>
    <w:rsid w:val="7D5316BF"/>
    <w:rsid w:val="7D796C4C"/>
    <w:rsid w:val="7D7D498E"/>
    <w:rsid w:val="7D8201F6"/>
    <w:rsid w:val="7D8E5C40"/>
    <w:rsid w:val="7DA96669"/>
    <w:rsid w:val="7DAE4B47"/>
    <w:rsid w:val="7DB06B11"/>
    <w:rsid w:val="7DB80032"/>
    <w:rsid w:val="7DBA1B79"/>
    <w:rsid w:val="7DBD2FDC"/>
    <w:rsid w:val="7DC33694"/>
    <w:rsid w:val="7DC36D0F"/>
    <w:rsid w:val="7DC75C09"/>
    <w:rsid w:val="7DCD41A0"/>
    <w:rsid w:val="7DD00F61"/>
    <w:rsid w:val="7DD86DD4"/>
    <w:rsid w:val="7DE02FAA"/>
    <w:rsid w:val="7DE32A87"/>
    <w:rsid w:val="7E1075B0"/>
    <w:rsid w:val="7E12157A"/>
    <w:rsid w:val="7E14458D"/>
    <w:rsid w:val="7E1F3C97"/>
    <w:rsid w:val="7E350DC4"/>
    <w:rsid w:val="7E413C0D"/>
    <w:rsid w:val="7E4B05E8"/>
    <w:rsid w:val="7E5C4B07"/>
    <w:rsid w:val="7E6B2A38"/>
    <w:rsid w:val="7E751B09"/>
    <w:rsid w:val="7E755665"/>
    <w:rsid w:val="7E964D89"/>
    <w:rsid w:val="7EA877E8"/>
    <w:rsid w:val="7EAD4DFF"/>
    <w:rsid w:val="7EAF501B"/>
    <w:rsid w:val="7EB476AA"/>
    <w:rsid w:val="7EB97C47"/>
    <w:rsid w:val="7ED454BD"/>
    <w:rsid w:val="7ED92098"/>
    <w:rsid w:val="7EE2719E"/>
    <w:rsid w:val="7EE35AC7"/>
    <w:rsid w:val="7EE62662"/>
    <w:rsid w:val="7EE6706A"/>
    <w:rsid w:val="7EEF3669"/>
    <w:rsid w:val="7EF5748A"/>
    <w:rsid w:val="7EF81395"/>
    <w:rsid w:val="7EFF108D"/>
    <w:rsid w:val="7F0215EE"/>
    <w:rsid w:val="7F052E8D"/>
    <w:rsid w:val="7F066A47"/>
    <w:rsid w:val="7F102B9B"/>
    <w:rsid w:val="7F1906E6"/>
    <w:rsid w:val="7F196938"/>
    <w:rsid w:val="7F1C4674"/>
    <w:rsid w:val="7F2104E2"/>
    <w:rsid w:val="7F233313"/>
    <w:rsid w:val="7F237EFE"/>
    <w:rsid w:val="7F2C5BB3"/>
    <w:rsid w:val="7F2C666B"/>
    <w:rsid w:val="7F3420D9"/>
    <w:rsid w:val="7F686F78"/>
    <w:rsid w:val="7F694288"/>
    <w:rsid w:val="7F737DF6"/>
    <w:rsid w:val="7F741DC0"/>
    <w:rsid w:val="7F7A75EA"/>
    <w:rsid w:val="7F8518D8"/>
    <w:rsid w:val="7F875650"/>
    <w:rsid w:val="7F8C01DD"/>
    <w:rsid w:val="7F926765"/>
    <w:rsid w:val="7F97765B"/>
    <w:rsid w:val="7F9B10FB"/>
    <w:rsid w:val="7FB14DC3"/>
    <w:rsid w:val="7FBA6440"/>
    <w:rsid w:val="7FC1610C"/>
    <w:rsid w:val="7FC464AA"/>
    <w:rsid w:val="7FCA2A56"/>
    <w:rsid w:val="7FCC39AA"/>
    <w:rsid w:val="7FEC0A4C"/>
    <w:rsid w:val="7FFC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7">
    <w:name w:val="table of authorities"/>
    <w:basedOn w:val="1"/>
    <w:next w:val="1"/>
    <w:qFormat/>
    <w:uiPriority w:val="0"/>
    <w:pPr>
      <w:keepNext w:val="0"/>
      <w:keepLines w:val="0"/>
      <w:widowControl w:val="0"/>
      <w:suppressLineNumbers w:val="0"/>
      <w:spacing w:line="365" w:lineRule="atLeast"/>
      <w:ind w:left="420" w:leftChars="200"/>
      <w:jc w:val="both"/>
      <w:textAlignment w:val="bottom"/>
    </w:pPr>
    <w:rPr>
      <w:rFonts w:hint="default" w:ascii="Times New Roman" w:hAnsi="Times New Roman" w:cs="Times New Roman"/>
      <w:kern w:val="0"/>
      <w:lang w:val="en-US" w:eastAsia="zh-CN" w:bidi="ar"/>
    </w:rPr>
  </w:style>
  <w:style w:type="paragraph" w:styleId="8">
    <w:name w:val="Normal Indent"/>
    <w:basedOn w:val="1"/>
    <w:autoRedefine/>
    <w:qFormat/>
    <w:uiPriority w:val="0"/>
    <w:pPr>
      <w:ind w:firstLine="420"/>
    </w:pPr>
    <w:rPr>
      <w:sz w:val="21"/>
    </w:rPr>
  </w:style>
  <w:style w:type="paragraph" w:styleId="9">
    <w:name w:val="annotation text"/>
    <w:basedOn w:val="1"/>
    <w:autoRedefine/>
    <w:qFormat/>
    <w:uiPriority w:val="0"/>
    <w:pPr>
      <w:jc w:val="left"/>
    </w:pPr>
  </w:style>
  <w:style w:type="paragraph" w:styleId="10">
    <w:name w:val="Body Text"/>
    <w:basedOn w:val="1"/>
    <w:next w:val="11"/>
    <w:autoRedefine/>
    <w:qFormat/>
    <w:uiPriority w:val="0"/>
    <w:pPr>
      <w:spacing w:after="120"/>
    </w:pPr>
    <w:rPr>
      <w:kern w:val="0"/>
      <w:sz w:val="20"/>
      <w:szCs w:val="20"/>
    </w:rPr>
  </w:style>
  <w:style w:type="paragraph" w:styleId="11">
    <w:name w:val="Body Text First Indent"/>
    <w:basedOn w:val="10"/>
    <w:autoRedefine/>
    <w:qFormat/>
    <w:uiPriority w:val="0"/>
    <w:pPr>
      <w:ind w:firstLine="420" w:firstLineChars="100"/>
    </w:pPr>
  </w:style>
  <w:style w:type="paragraph" w:styleId="12">
    <w:name w:val="Body Text Indent"/>
    <w:basedOn w:val="1"/>
    <w:next w:val="13"/>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3">
    <w:name w:val="Default"/>
    <w:next w:val="14"/>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toc 2"/>
    <w:basedOn w:val="1"/>
    <w:next w:val="1"/>
    <w:autoRedefine/>
    <w:qFormat/>
    <w:uiPriority w:val="39"/>
    <w:pPr>
      <w:ind w:left="420" w:leftChars="200"/>
    </w:pPr>
  </w:style>
  <w:style w:type="paragraph" w:styleId="15">
    <w:name w:val="index 4"/>
    <w:basedOn w:val="1"/>
    <w:next w:val="1"/>
    <w:autoRedefine/>
    <w:qFormat/>
    <w:uiPriority w:val="0"/>
    <w:pPr>
      <w:ind w:left="600" w:leftChars="600"/>
    </w:pPr>
    <w:rPr>
      <w:szCs w:val="24"/>
    </w:rPr>
  </w:style>
  <w:style w:type="paragraph" w:styleId="16">
    <w:name w:val="Plain Text"/>
    <w:basedOn w:val="1"/>
    <w:qFormat/>
    <w:uiPriority w:val="99"/>
    <w:rPr>
      <w:rFonts w:ascii="宋体" w:hAnsi="Courier New"/>
      <w:kern w:val="0"/>
    </w:rPr>
  </w:style>
  <w:style w:type="paragraph" w:styleId="17">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8">
    <w:name w:val="footer"/>
    <w:basedOn w:val="1"/>
    <w:autoRedefine/>
    <w:qFormat/>
    <w:uiPriority w:val="0"/>
    <w:pPr>
      <w:tabs>
        <w:tab w:val="center" w:pos="4153"/>
        <w:tab w:val="right" w:pos="8306"/>
      </w:tabs>
      <w:snapToGrid w:val="0"/>
      <w:jc w:val="left"/>
    </w:pPr>
    <w:rPr>
      <w:kern w:val="0"/>
      <w:sz w:val="18"/>
      <w:szCs w:val="18"/>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0">
    <w:name w:val="toc 1"/>
    <w:basedOn w:val="1"/>
    <w:next w:val="1"/>
    <w:autoRedefine/>
    <w:qFormat/>
    <w:uiPriority w:val="0"/>
  </w:style>
  <w:style w:type="paragraph" w:styleId="21">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2">
    <w:name w:val="Body Text 2"/>
    <w:basedOn w:val="1"/>
    <w:autoRedefine/>
    <w:qFormat/>
    <w:uiPriority w:val="0"/>
    <w:pPr>
      <w:spacing w:after="120" w:line="480" w:lineRule="auto"/>
    </w:pPr>
  </w:style>
  <w:style w:type="paragraph" w:styleId="23">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4">
    <w:name w:val="Body Text First Indent 2"/>
    <w:basedOn w:val="12"/>
    <w:next w:val="1"/>
    <w:autoRedefine/>
    <w:qFormat/>
    <w:uiPriority w:val="0"/>
    <w:pPr>
      <w:ind w:firstLine="420" w:firstLineChars="200"/>
    </w:pPr>
    <w:rPr>
      <w:rFonts w:ascii="Calibri" w:hAnsi="Calibri"/>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FollowedHyperlink"/>
    <w:basedOn w:val="27"/>
    <w:autoRedefine/>
    <w:qFormat/>
    <w:uiPriority w:val="0"/>
    <w:rPr>
      <w:color w:val="800080"/>
      <w:u w:val="none"/>
    </w:rPr>
  </w:style>
  <w:style w:type="character" w:styleId="30">
    <w:name w:val="Emphasis"/>
    <w:basedOn w:val="27"/>
    <w:autoRedefine/>
    <w:qFormat/>
    <w:uiPriority w:val="0"/>
    <w:rPr>
      <w:b/>
    </w:rPr>
  </w:style>
  <w:style w:type="character" w:styleId="31">
    <w:name w:val="HTML Definition"/>
    <w:basedOn w:val="27"/>
    <w:autoRedefine/>
    <w:qFormat/>
    <w:uiPriority w:val="0"/>
  </w:style>
  <w:style w:type="character" w:styleId="32">
    <w:name w:val="HTML Typewriter"/>
    <w:basedOn w:val="27"/>
    <w:autoRedefine/>
    <w:qFormat/>
    <w:uiPriority w:val="0"/>
    <w:rPr>
      <w:rFonts w:ascii="monospace" w:hAnsi="monospace" w:eastAsia="monospace" w:cs="monospace"/>
      <w:sz w:val="20"/>
    </w:rPr>
  </w:style>
  <w:style w:type="character" w:styleId="33">
    <w:name w:val="HTML Acronym"/>
    <w:basedOn w:val="27"/>
    <w:autoRedefine/>
    <w:qFormat/>
    <w:uiPriority w:val="0"/>
  </w:style>
  <w:style w:type="character" w:styleId="34">
    <w:name w:val="HTML Variable"/>
    <w:basedOn w:val="27"/>
    <w:autoRedefine/>
    <w:qFormat/>
    <w:uiPriority w:val="0"/>
  </w:style>
  <w:style w:type="character" w:styleId="35">
    <w:name w:val="Hyperlink"/>
    <w:autoRedefine/>
    <w:qFormat/>
    <w:uiPriority w:val="0"/>
    <w:rPr>
      <w:color w:val="0000FF"/>
      <w:u w:val="single"/>
    </w:rPr>
  </w:style>
  <w:style w:type="character" w:styleId="36">
    <w:name w:val="HTML Code"/>
    <w:basedOn w:val="27"/>
    <w:autoRedefine/>
    <w:qFormat/>
    <w:uiPriority w:val="0"/>
    <w:rPr>
      <w:rFonts w:hint="default" w:ascii="monospace" w:hAnsi="monospace" w:eastAsia="monospace" w:cs="monospace"/>
      <w:sz w:val="20"/>
    </w:rPr>
  </w:style>
  <w:style w:type="character" w:styleId="37">
    <w:name w:val="HTML Cite"/>
    <w:basedOn w:val="27"/>
    <w:autoRedefine/>
    <w:qFormat/>
    <w:uiPriority w:val="0"/>
  </w:style>
  <w:style w:type="character" w:styleId="38">
    <w:name w:val="HTML Keyboard"/>
    <w:basedOn w:val="27"/>
    <w:autoRedefine/>
    <w:qFormat/>
    <w:uiPriority w:val="0"/>
    <w:rPr>
      <w:rFonts w:hint="default" w:ascii="monospace" w:hAnsi="monospace" w:eastAsia="monospace" w:cs="monospace"/>
      <w:sz w:val="20"/>
    </w:rPr>
  </w:style>
  <w:style w:type="character" w:styleId="39">
    <w:name w:val="HTML Sample"/>
    <w:basedOn w:val="27"/>
    <w:autoRedefine/>
    <w:qFormat/>
    <w:uiPriority w:val="0"/>
    <w:rPr>
      <w:rFonts w:hint="default" w:ascii="monospace" w:hAnsi="monospace" w:eastAsia="monospace" w:cs="monospace"/>
      <w:vanish/>
    </w:rPr>
  </w:style>
  <w:style w:type="paragraph" w:customStyle="1" w:styleId="40">
    <w:name w:val="一级条标题"/>
    <w:basedOn w:val="41"/>
    <w:next w:val="42"/>
    <w:autoRedefine/>
    <w:qFormat/>
    <w:uiPriority w:val="99"/>
    <w:pPr>
      <w:numPr>
        <w:ilvl w:val="1"/>
        <w:numId w:val="1"/>
      </w:numPr>
      <w:spacing w:beforeLines="50" w:afterLines="50"/>
      <w:outlineLvl w:val="2"/>
    </w:pPr>
    <w:rPr>
      <w:szCs w:val="21"/>
    </w:rPr>
  </w:style>
  <w:style w:type="paragraph" w:customStyle="1" w:styleId="41">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2">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3">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4">
    <w:name w:val="List Paragraph"/>
    <w:basedOn w:val="1"/>
    <w:autoRedefine/>
    <w:unhideWhenUsed/>
    <w:qFormat/>
    <w:uiPriority w:val="99"/>
    <w:pPr>
      <w:ind w:firstLine="420" w:firstLineChars="200"/>
    </w:pPr>
  </w:style>
  <w:style w:type="paragraph" w:customStyle="1" w:styleId="45">
    <w:name w:val="Table Paragraph"/>
    <w:basedOn w:val="1"/>
    <w:qFormat/>
    <w:uiPriority w:val="1"/>
    <w:rPr>
      <w:rFonts w:ascii="宋体" w:hAnsi="宋体" w:cs="宋体"/>
      <w:lang w:val="zh-CN" w:bidi="zh-CN"/>
    </w:rPr>
  </w:style>
  <w:style w:type="character" w:customStyle="1" w:styleId="46">
    <w:name w:val="indent"/>
    <w:basedOn w:val="27"/>
    <w:autoRedefine/>
    <w:qFormat/>
    <w:uiPriority w:val="0"/>
  </w:style>
  <w:style w:type="character" w:customStyle="1" w:styleId="47">
    <w:name w:val="button"/>
    <w:basedOn w:val="27"/>
    <w:autoRedefine/>
    <w:qFormat/>
    <w:uiPriority w:val="0"/>
  </w:style>
  <w:style w:type="character" w:customStyle="1" w:styleId="48">
    <w:name w:val="hover3"/>
    <w:basedOn w:val="27"/>
    <w:autoRedefine/>
    <w:qFormat/>
    <w:uiPriority w:val="0"/>
    <w:rPr>
      <w:shd w:val="clear" w:fill="EEEEEE"/>
    </w:rPr>
  </w:style>
  <w:style w:type="character" w:customStyle="1" w:styleId="49">
    <w:name w:val="old"/>
    <w:basedOn w:val="27"/>
    <w:autoRedefine/>
    <w:qFormat/>
    <w:uiPriority w:val="0"/>
    <w:rPr>
      <w:color w:val="999999"/>
    </w:rPr>
  </w:style>
  <w:style w:type="character" w:customStyle="1" w:styleId="50">
    <w:name w:val="glyphicon4"/>
    <w:basedOn w:val="27"/>
    <w:autoRedefine/>
    <w:qFormat/>
    <w:uiPriority w:val="0"/>
  </w:style>
  <w:style w:type="character" w:customStyle="1" w:styleId="51">
    <w:name w:val="hour_am"/>
    <w:basedOn w:val="27"/>
    <w:autoRedefine/>
    <w:qFormat/>
    <w:uiPriority w:val="0"/>
  </w:style>
  <w:style w:type="character" w:customStyle="1" w:styleId="52">
    <w:name w:val="hour_pm"/>
    <w:basedOn w:val="27"/>
    <w:autoRedefine/>
    <w:qFormat/>
    <w:uiPriority w:val="0"/>
  </w:style>
  <w:style w:type="paragraph" w:customStyle="1" w:styleId="53">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4">
    <w:name w:val="tmpztreemove_arrow"/>
    <w:basedOn w:val="27"/>
    <w:autoRedefine/>
    <w:qFormat/>
    <w:uiPriority w:val="0"/>
    <w:rPr>
      <w:shd w:val="clear" w:fill="FFFFFF"/>
    </w:rPr>
  </w:style>
  <w:style w:type="character" w:customStyle="1" w:styleId="55">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6">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7">
    <w:name w:val="font21"/>
    <w:basedOn w:val="27"/>
    <w:qFormat/>
    <w:uiPriority w:val="0"/>
    <w:rPr>
      <w:rFonts w:hint="eastAsia" w:ascii="宋体" w:hAnsi="宋体" w:eastAsia="宋体" w:cs="宋体"/>
      <w:color w:val="000000"/>
      <w:sz w:val="20"/>
      <w:szCs w:val="20"/>
      <w:u w:val="none"/>
    </w:rPr>
  </w:style>
  <w:style w:type="character" w:customStyle="1" w:styleId="58">
    <w:name w:val="font51"/>
    <w:basedOn w:val="27"/>
    <w:qFormat/>
    <w:uiPriority w:val="0"/>
    <w:rPr>
      <w:rFonts w:hint="eastAsia" w:ascii="宋体" w:hAnsi="宋体" w:eastAsia="宋体" w:cs="宋体"/>
      <w:color w:val="000000"/>
      <w:sz w:val="20"/>
      <w:szCs w:val="20"/>
      <w:u w:val="single"/>
    </w:rPr>
  </w:style>
  <w:style w:type="character" w:customStyle="1" w:styleId="59">
    <w:name w:val="font41"/>
    <w:basedOn w:val="27"/>
    <w:qFormat/>
    <w:uiPriority w:val="0"/>
    <w:rPr>
      <w:rFonts w:hint="eastAsia" w:ascii="宋体" w:hAnsi="宋体" w:eastAsia="宋体" w:cs="宋体"/>
      <w:color w:val="000000"/>
      <w:sz w:val="20"/>
      <w:szCs w:val="20"/>
      <w:u w:val="single"/>
    </w:rPr>
  </w:style>
  <w:style w:type="character" w:customStyle="1" w:styleId="60">
    <w:name w:val="font61"/>
    <w:basedOn w:val="27"/>
    <w:qFormat/>
    <w:uiPriority w:val="0"/>
    <w:rPr>
      <w:rFonts w:hint="eastAsia" w:ascii="宋体" w:hAnsi="宋体" w:eastAsia="宋体" w:cs="宋体"/>
      <w:color w:val="000000"/>
      <w:sz w:val="20"/>
      <w:szCs w:val="20"/>
      <w:u w:val="single"/>
    </w:rPr>
  </w:style>
  <w:style w:type="paragraph" w:customStyle="1" w:styleId="61">
    <w:name w:val="No Spacing"/>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14379</Words>
  <Characters>15382</Characters>
  <Lines>0</Lines>
  <Paragraphs>0</Paragraphs>
  <TotalTime>6</TotalTime>
  <ScaleCrop>false</ScaleCrop>
  <LinksUpToDate>false</LinksUpToDate>
  <CharactersWithSpaces>15538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2026-06-18T06:10:00Z</cp:lastPrinted>
  <dcterms:modified xsi:type="dcterms:W3CDTF">2026-06-24T01:11:17Z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B7862E7D2B664642AEE6BEE66FED115F_13</vt:lpwstr>
  </property>
  <property fmtid="{D5CDD505-2E9C-101B-9397-08002B2CF9AE}" pid="4" name="KSOTemplateDocerSaveRecord">
    <vt:lpwstr>eyJoZGlkIjoiY2Y1NTdiZWM2OTIyNjVhMjk4ZGEyMTY2ZWI0MGMxYjUiLCJ1c2VySWQiOiIyODU0ODI4MDcifQ==</vt:lpwstr>
  </property>
</Properties>
</file>