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版本号：DCZX2026-ZCCS-GC102820260513001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三官庙镇南湾岭村七组水毁道路维修项目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DCZX2026-ZCCS-GC1028</w:t>
      </w:r>
      <w:r>
        <w:br/>
      </w:r>
      <w:r>
        <w:br/>
      </w:r>
      <w:r>
        <w:br/>
      </w:r>
    </w:p>
    <w:p>
      <w:pPr>
        <w:pStyle w:val="null3"/>
        <w:jc w:val="center"/>
        <w:outlineLvl w:val="2"/>
      </w:pPr>
      <w:r>
        <w:rPr>
          <w:rFonts w:ascii="仿宋_GB2312" w:hAnsi="仿宋_GB2312" w:cs="仿宋_GB2312" w:eastAsia="仿宋_GB2312"/>
          <w:sz w:val="28"/>
          <w:b/>
        </w:rPr>
        <w:t>西安市蓝田县三官庙镇政府（本级）</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西安市蓝田县三官庙镇政府（本级）</w:t>
      </w:r>
      <w:r>
        <w:rPr>
          <w:rFonts w:ascii="仿宋_GB2312" w:hAnsi="仿宋_GB2312" w:cs="仿宋_GB2312" w:eastAsia="仿宋_GB2312"/>
        </w:rPr>
        <w:t>委托，拟对</w:t>
      </w:r>
      <w:r>
        <w:rPr>
          <w:rFonts w:ascii="仿宋_GB2312" w:hAnsi="仿宋_GB2312" w:cs="仿宋_GB2312" w:eastAsia="仿宋_GB2312"/>
        </w:rPr>
        <w:t>三官庙镇南湾岭村七组水毁道路维修项目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DCZX2026-ZCCS-GC1028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三官庙镇南湾岭村七组水毁道路维修项目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三官庙镇南湾岭村七组水毁道路维修项目主要包括:修筑片石混凝土挡墙，实施滑坡削方减载，开挖并压实路基，恢复道路混凝土面层等施工。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采购包1（三官庙镇南湾岭村七组水毁道路维修项目）：属于专门面向中小企业采购。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1、身份证明：法定代表人授权书（法定代表人直接参加投标，须提供法定代表人身份证明）；</w:t>
      </w:r>
    </w:p>
    <w:p>
      <w:pPr>
        <w:pStyle w:val="null3"/>
      </w:pPr>
      <w:r>
        <w:rPr>
          <w:rFonts w:ascii="仿宋_GB2312" w:hAnsi="仿宋_GB2312" w:cs="仿宋_GB2312" w:eastAsia="仿宋_GB2312"/>
        </w:rPr>
        <w:t>2、企业资质：投标供应商须具备行业主管部门颁发的市政公用工程施工总承包三级及以上资质并具有有效的安全生产许可证；</w:t>
      </w:r>
    </w:p>
    <w:p>
      <w:pPr>
        <w:pStyle w:val="null3"/>
      </w:pPr>
      <w:r>
        <w:rPr>
          <w:rFonts w:ascii="仿宋_GB2312" w:hAnsi="仿宋_GB2312" w:cs="仿宋_GB2312" w:eastAsia="仿宋_GB2312"/>
        </w:rPr>
        <w:t>3、拟派项目经理资质：投标供应商拟派项目经理须具备行业主管部门颁发的市政公用工程专业二级及以上建造师资质及有效的安全生产考核合格证书（建安B证），在本单位注册且无在建工程（提供承诺）；</w:t>
      </w:r>
    </w:p>
    <w:p>
      <w:pPr>
        <w:pStyle w:val="null3"/>
      </w:pPr>
      <w:r>
        <w:rPr>
          <w:rFonts w:ascii="仿宋_GB2312" w:hAnsi="仿宋_GB2312" w:cs="仿宋_GB2312" w:eastAsia="仿宋_GB2312"/>
        </w:rPr>
        <w:t>4、投标供应商基本信息及项目经理基本信息：投标供应商基本信息及项目经理基本信息应在“陕西建设网（http://js.shaanxi.gov.cn/）或陕西省建筑市场监管与诚信信息发布平台”可查询；</w:t>
      </w:r>
    </w:p>
    <w:p>
      <w:pPr>
        <w:pStyle w:val="null3"/>
      </w:pPr>
      <w:r>
        <w:rPr>
          <w:rFonts w:ascii="仿宋_GB2312" w:hAnsi="仿宋_GB2312" w:cs="仿宋_GB2312" w:eastAsia="仿宋_GB2312"/>
        </w:rPr>
        <w:t>5、信用信息：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6、承诺书：投标供应商不得在各级诚信信息平台被列为投标受限制的行为人（提供承诺）；</w:t>
      </w:r>
    </w:p>
    <w:p>
      <w:pPr>
        <w:pStyle w:val="null3"/>
      </w:pPr>
      <w:r>
        <w:rPr>
          <w:rFonts w:ascii="仿宋_GB2312" w:hAnsi="仿宋_GB2312" w:cs="仿宋_GB2312" w:eastAsia="仿宋_GB2312"/>
        </w:rPr>
        <w:t>7、中小企业声明函：本项目专门面向中小企业采购，仅限符合《政府采购促进中小企业发展管理办法》的通知(财库〔2020〕46号)条件的中小企业参与，并提供中小企业声明函，残疾人福利企业、监狱企业视同中小企业；</w:t>
      </w:r>
    </w:p>
    <w:p>
      <w:pPr>
        <w:pStyle w:val="null3"/>
      </w:pPr>
      <w:r>
        <w:rPr>
          <w:rFonts w:ascii="仿宋_GB2312" w:hAnsi="仿宋_GB2312" w:cs="仿宋_GB2312" w:eastAsia="仿宋_GB2312"/>
        </w:rPr>
        <w:t>8、非联合体声明：本项目不接受联合体投标，单位负责人为同一人或者存在直接控股、管理关系的不同供应商，不得参加同一合同项下的政府采购活动。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西安市蓝田县三官庙镇政府（本级）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陕西省西安市蓝田县三官庙镇三官庙街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029-82931008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刘玮哲、胡丽珠、彭宏飞、潘娟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招标代理服务收费管理暂行办法》（计价格[2002]1980号）和《关于招标代理服务收费有关问题的通知》(发改办价格[2003]857号）的有关规定执行。2、成交单位在领取成交通知书前，须向采购代理机构一次性支付采购代理服务费。 代理费缴存账户： 开户名称：陕西鼎成项目管理咨询有限公司 开户银行：中国民生银行股份有限公司西安高新科技支行 账号：171277297 （备注：项目名称+项目编号） 3、成交供应商在领取成交通知书时须携带法定代表人授权书及加盖单位公章的被授权人身份证复印件。</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西安市蓝田县三官庙镇政府（本级）</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西安市蓝田县三官庙镇政府（本级）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西安市蓝田县三官庙镇政府（本级）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联系人：刘玮哲</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661,000.00</w:t>
      </w:r>
    </w:p>
    <w:p>
      <w:pPr>
        <w:pStyle w:val="null3"/>
      </w:pPr>
      <w:r>
        <w:rPr>
          <w:rFonts w:ascii="仿宋_GB2312" w:hAnsi="仿宋_GB2312" w:cs="仿宋_GB2312" w:eastAsia="仿宋_GB2312"/>
        </w:rPr>
        <w:t>采购包最高限价（元）: 658,223.58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水毁道路维修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661,000.00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标的名称：水毁道路维修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一、计划工期：</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1"/>
              </w:rPr>
              <w:t>60</w:t>
            </w:r>
            <w:r>
              <w:rPr>
                <w:rFonts w:ascii="仿宋_GB2312" w:hAnsi="仿宋_GB2312" w:cs="仿宋_GB2312" w:eastAsia="仿宋_GB2312"/>
                <w:sz w:val="21"/>
              </w:rPr>
              <w:t>日历天。</w:t>
            </w:r>
          </w:p>
          <w:p>
            <w:pPr>
              <w:pStyle w:val="null3"/>
              <w:jc w:val="both"/>
            </w:pPr>
            <w:r>
              <w:rPr>
                <w:rFonts w:ascii="仿宋_GB2312" w:hAnsi="仿宋_GB2312" w:cs="仿宋_GB2312" w:eastAsia="仿宋_GB2312"/>
                <w:sz w:val="21"/>
              </w:rPr>
              <w:t>二、质保期：</w:t>
            </w:r>
          </w:p>
          <w:p>
            <w:pPr>
              <w:pStyle w:val="null3"/>
              <w:ind w:firstLine="480"/>
              <w:jc w:val="both"/>
            </w:pPr>
            <w:r>
              <w:rPr>
                <w:rFonts w:ascii="仿宋_GB2312" w:hAnsi="仿宋_GB2312" w:cs="仿宋_GB2312" w:eastAsia="仿宋_GB2312"/>
                <w:sz w:val="21"/>
              </w:rPr>
              <w:t>基础设施工程、房屋建筑的地基基础工程和主体结构工程，为设计文件规定的该工程的合理使用年限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三、缺陷责任期：</w:t>
            </w:r>
          </w:p>
          <w:p>
            <w:pPr>
              <w:pStyle w:val="null3"/>
              <w:ind w:firstLine="480"/>
              <w:jc w:val="both"/>
            </w:pPr>
            <w:r>
              <w:rPr>
                <w:rFonts w:ascii="仿宋_GB2312" w:hAnsi="仿宋_GB2312" w:cs="仿宋_GB2312" w:eastAsia="仿宋_GB2312"/>
                <w:sz w:val="21"/>
              </w:rPr>
              <w:t>自竣工验收之日起</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1 </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四、付款条件及比例</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1、合同签订后，甲方向乙方支付合同价款的40%作为预付款。</w:t>
            </w:r>
          </w:p>
          <w:p>
            <w:pPr>
              <w:pStyle w:val="null3"/>
              <w:ind w:firstLine="480"/>
              <w:jc w:val="both"/>
            </w:pPr>
            <w:r>
              <w:rPr>
                <w:rFonts w:ascii="仿宋_GB2312" w:hAnsi="仿宋_GB2312" w:cs="仿宋_GB2312" w:eastAsia="仿宋_GB2312"/>
                <w:sz w:val="21"/>
              </w:rPr>
              <w:t>2、乙方完成合同工程量75%时，甲方向乙方支付至合同总价款的75%作为工程进度款。</w:t>
            </w:r>
          </w:p>
          <w:p>
            <w:pPr>
              <w:pStyle w:val="null3"/>
              <w:ind w:firstLine="480"/>
              <w:jc w:val="both"/>
            </w:pPr>
            <w:r>
              <w:rPr>
                <w:rFonts w:ascii="仿宋_GB2312" w:hAnsi="仿宋_GB2312" w:cs="仿宋_GB2312" w:eastAsia="仿宋_GB2312"/>
                <w:sz w:val="21"/>
              </w:rPr>
              <w:t>3、乙方完成全部工程量时，经甲方组织有关部门验收合格后，支付至合同总价款的90%。</w:t>
            </w:r>
          </w:p>
          <w:p>
            <w:pPr>
              <w:pStyle w:val="null3"/>
              <w:ind w:firstLine="480"/>
              <w:jc w:val="both"/>
            </w:pPr>
            <w:r>
              <w:rPr>
                <w:rFonts w:ascii="仿宋_GB2312" w:hAnsi="仿宋_GB2312" w:cs="仿宋_GB2312" w:eastAsia="仿宋_GB2312"/>
                <w:sz w:val="21"/>
              </w:rPr>
              <w:t>4、经政府相关审计部门审计完成后，支付至审计结算价款的100%。</w:t>
            </w:r>
          </w:p>
          <w:p>
            <w:pPr>
              <w:pStyle w:val="null3"/>
              <w:jc w:val="left"/>
            </w:pPr>
            <w:r>
              <w:rPr>
                <w:rFonts w:ascii="仿宋_GB2312" w:hAnsi="仿宋_GB2312" w:cs="仿宋_GB2312" w:eastAsia="仿宋_GB2312"/>
                <w:sz w:val="21"/>
              </w:rPr>
              <w:t>五、质量要求：</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达到国家现行行业施工验收规范</w:t>
            </w:r>
            <w:r>
              <w:rPr>
                <w:rFonts w:ascii="仿宋_GB2312" w:hAnsi="仿宋_GB2312" w:cs="仿宋_GB2312" w:eastAsia="仿宋_GB2312"/>
                <w:sz w:val="21"/>
              </w:rPr>
              <w:t>“合格”标准。</w:t>
            </w:r>
          </w:p>
          <w:p>
            <w:pPr>
              <w:pStyle w:val="null3"/>
              <w:jc w:val="left"/>
            </w:pPr>
            <w:r>
              <w:rPr>
                <w:rFonts w:ascii="仿宋_GB2312" w:hAnsi="仿宋_GB2312" w:cs="仿宋_GB2312" w:eastAsia="仿宋_GB2312"/>
                <w:sz w:val="21"/>
              </w:rPr>
              <w:t>六、合同定价方式：</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本合同价款采用</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（固定总价）</w:t>
            </w:r>
            <w:r>
              <w:rPr>
                <w:rFonts w:ascii="仿宋_GB2312" w:hAnsi="仿宋_GB2312" w:cs="仿宋_GB2312" w:eastAsia="仿宋_GB2312"/>
                <w:sz w:val="21"/>
              </w:rPr>
              <w:t>方式确定。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竞争性磋商文件第六章6.3.4：“（五）若采用项目包干价的，供应商直接给出其完成本项目全部工作内容所需的总价，不再提供已标价工程量清单。”为系统自动生成内容，无法更改，本项目需要提供已标价工程量清单。 （3）“若供应商的最后报价只有一个总价，则供应商应当提交相应调整部分的报价构成及明细，并结合首次报价提供的已标价工程量清单，重新计算总报价。”为系统自动生成，无法更改，本项目二次报价只需填报项目总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（2）提供2025年度经审计的财务报告（成立时间至提交磋商响应文件截止时间不足一年的可提供成立后任意时段的资产负债表），或磋商响应文件递交截止时间前6个月内银行出具的资信证明； （3）磋商响应文件递交截止时间前一年内已缴纳的至少一个月的纳税证明或完税证明，依法免税的单位应提供相关证明材料； （4）磋商响应文件递交截止时间前一年内已缴存的至少一个月的社会保障资金缴存单据或社保机构开具的社会保险参保缴费情况证明，依法不需要缴纳社会保障资金的单位应提供相关证明材料；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提供2025年度经审计的财务报告（成立时间至提交磋商响应文件截止时间不足一年的可提供成立后任意时段的资产负债表），或磋商响应文件递交截止日前六个月内银行出具的资信证明。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投标供应商须具备行业主管部门颁发的市政公用工程施工总承包三级及以上资质并具有有效的安全生产许可证；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投标供应商拟派项目经理须具备行业主管部门颁发的市政公用工程专业二级及以上建造师资质及有效的安全生产考核合格证书（建安B证），在本单位注册且无在建工程（提供承诺）；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投标供应商基本信息及项目经理基本信息</w:t>
            </w:r>
          </w:p>
        </w:tc>
        <w:tc>
          <w:tcPr>
            <w:tcW w:type="dxa" w:w="3322"/>
          </w:tcPr>
          <w:p>
            <w:pPr>
              <w:pStyle w:val="null3"/>
            </w:pPr>
            <w:r>
              <w:rPr>
                <w:rFonts w:ascii="仿宋_GB2312" w:hAnsi="仿宋_GB2312" w:cs="仿宋_GB2312" w:eastAsia="仿宋_GB2312"/>
              </w:rPr>
              <w:t>投标供应商基本信息及项目经理基本信息应在“陕西建设网（http://js.shaanxi.gov.cn/）或陕西省建筑市场监管与诚信信息发布平台”可查询；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投标供应商不得在各级诚信信息平台被列为投标受限制的行为人（提供承诺）；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本项目专门面向中小企业采购，仅限符合《政府采购促进中小企业发展管理办法》的通知(财库〔2020〕46号)条件的中小企业参与，并提供中小企业声明函，残疾人福利企业、监狱企业视同中小企业；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技术方案.docx 已标价工程量清单.docx 商务、技术条款偏离表.docx 中小企业声明函 残疾人福利性单位声明函 拒绝政府采购领域商业贿赂承诺书.docx 报价函 标的清单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缺陷责任期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付款条件及比例</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已标价工程量清单.docx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施工方案和项目经理部组成人员</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确保文明施工的技术组织措施及保护措施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施工机械配备和材料投入计划包括但不限于新材料、新工艺、绿色建材的使用</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施工环保、“治污减霾”措施计划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2023年05月01日（以合同签订日期为准）类似项目业绩（以合同复印件或扫描件加盖公章为准）每个有效业绩得1分，满分共计5分。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详见附件：商务、技术条款偏离表.docx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