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6DFAF03">
      <w:pPr>
        <w:spacing w:line="360" w:lineRule="auto"/>
        <w:jc w:val="center"/>
        <w:outlineLvl w:val="0"/>
        <w:rPr>
          <w:rFonts w:hint="eastAsia" w:ascii="宋体" w:hAnsi="宋体"/>
          <w:b/>
          <w:sz w:val="32"/>
          <w:szCs w:val="32"/>
        </w:rPr>
      </w:pPr>
      <w:bookmarkStart w:id="0" w:name="_Toc13585"/>
      <w:bookmarkStart w:id="6" w:name="_GoBack"/>
      <w:bookmarkEnd w:id="6"/>
      <w:r>
        <w:rPr>
          <w:rFonts w:hint="eastAsia" w:ascii="宋体" w:hAnsi="宋体"/>
          <w:b/>
          <w:sz w:val="32"/>
          <w:szCs w:val="32"/>
        </w:rPr>
        <w:t>技术参数及要求</w:t>
      </w:r>
      <w:bookmarkEnd w:id="0"/>
    </w:p>
    <w:p w14:paraId="7C27632F">
      <w:pPr>
        <w:jc w:val="both"/>
        <w:rPr>
          <w:rFonts w:hint="eastAsia" w:ascii="宋体" w:hAnsi="宋体" w:eastAsia="宋体" w:cs="宋体"/>
          <w:b/>
          <w:bCs/>
          <w:sz w:val="32"/>
          <w:szCs w:val="32"/>
        </w:rPr>
      </w:pPr>
      <w:r>
        <w:rPr>
          <w:rFonts w:hint="eastAsia" w:ascii="宋体" w:hAnsi="宋体" w:eastAsia="宋体" w:cs="宋体"/>
          <w:b/>
          <w:bCs/>
          <w:sz w:val="32"/>
          <w:szCs w:val="32"/>
          <w:lang w:val="en-US" w:eastAsia="zh-CN"/>
        </w:rPr>
        <w:t>一、</w:t>
      </w:r>
      <w:r>
        <w:rPr>
          <w:rFonts w:hint="eastAsia" w:ascii="宋体" w:hAnsi="宋体" w:eastAsia="宋体" w:cs="宋体"/>
          <w:b/>
          <w:bCs/>
          <w:sz w:val="32"/>
          <w:szCs w:val="32"/>
        </w:rPr>
        <w:t>产品报价及参数清单</w:t>
      </w:r>
    </w:p>
    <w:tbl>
      <w:tblPr>
        <w:tblStyle w:val="3"/>
        <w:tblW w:w="499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3827"/>
        <w:gridCol w:w="630"/>
        <w:gridCol w:w="638"/>
        <w:gridCol w:w="1420"/>
        <w:gridCol w:w="1331"/>
      </w:tblGrid>
      <w:tr w14:paraId="4E8AD1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89" w:hRule="atLeast"/>
          <w:jc w:val="center"/>
        </w:trPr>
        <w:tc>
          <w:tcPr>
            <w:tcW w:w="389" w:type="pct"/>
            <w:noWrap w:val="0"/>
            <w:vAlign w:val="center"/>
          </w:tcPr>
          <w:p w14:paraId="7FD14BD4">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z w:val="24"/>
                <w:szCs w:val="24"/>
              </w:rPr>
            </w:pPr>
            <w:r>
              <w:rPr>
                <w:rFonts w:hint="eastAsia" w:ascii="宋体" w:hAnsi="宋体" w:eastAsia="宋体" w:cs="宋体"/>
                <w:b/>
                <w:bCs/>
                <w:sz w:val="24"/>
                <w:szCs w:val="24"/>
              </w:rPr>
              <w:t>序号</w:t>
            </w:r>
          </w:p>
        </w:tc>
        <w:tc>
          <w:tcPr>
            <w:tcW w:w="2248" w:type="pct"/>
            <w:noWrap w:val="0"/>
            <w:vAlign w:val="center"/>
          </w:tcPr>
          <w:p w14:paraId="37BD26C1">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z w:val="24"/>
                <w:szCs w:val="24"/>
              </w:rPr>
            </w:pPr>
            <w:r>
              <w:rPr>
                <w:rFonts w:hint="eastAsia" w:ascii="宋体" w:hAnsi="宋体" w:eastAsia="宋体" w:cs="宋体"/>
                <w:b/>
                <w:bCs/>
                <w:sz w:val="24"/>
                <w:szCs w:val="24"/>
              </w:rPr>
              <w:t>产品名称</w:t>
            </w:r>
          </w:p>
        </w:tc>
        <w:tc>
          <w:tcPr>
            <w:tcW w:w="370" w:type="pct"/>
            <w:noWrap w:val="0"/>
            <w:vAlign w:val="center"/>
          </w:tcPr>
          <w:p w14:paraId="02E5C28A">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z w:val="24"/>
                <w:szCs w:val="24"/>
              </w:rPr>
            </w:pPr>
            <w:r>
              <w:rPr>
                <w:rFonts w:hint="eastAsia" w:ascii="宋体" w:hAnsi="宋体" w:eastAsia="宋体" w:cs="宋体"/>
                <w:b/>
                <w:bCs/>
                <w:sz w:val="24"/>
                <w:szCs w:val="24"/>
              </w:rPr>
              <w:t>数量</w:t>
            </w:r>
          </w:p>
        </w:tc>
        <w:tc>
          <w:tcPr>
            <w:tcW w:w="375" w:type="pct"/>
            <w:noWrap w:val="0"/>
            <w:vAlign w:val="center"/>
          </w:tcPr>
          <w:p w14:paraId="01533C02">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z w:val="24"/>
                <w:szCs w:val="24"/>
              </w:rPr>
            </w:pPr>
            <w:r>
              <w:rPr>
                <w:rFonts w:hint="eastAsia" w:ascii="宋体" w:hAnsi="宋体" w:eastAsia="宋体" w:cs="宋体"/>
                <w:b/>
                <w:bCs/>
                <w:sz w:val="24"/>
                <w:szCs w:val="24"/>
              </w:rPr>
              <w:t>单位</w:t>
            </w:r>
          </w:p>
        </w:tc>
        <w:tc>
          <w:tcPr>
            <w:tcW w:w="834" w:type="pct"/>
            <w:noWrap w:val="0"/>
            <w:vAlign w:val="center"/>
          </w:tcPr>
          <w:p w14:paraId="6DA8D0FD">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z w:val="24"/>
                <w:szCs w:val="24"/>
              </w:rPr>
            </w:pPr>
            <w:r>
              <w:rPr>
                <w:rFonts w:hint="eastAsia" w:ascii="宋体" w:hAnsi="宋体" w:eastAsia="宋体" w:cs="宋体"/>
                <w:b/>
                <w:bCs/>
                <w:sz w:val="24"/>
                <w:szCs w:val="24"/>
              </w:rPr>
              <w:t>单价（万元）</w:t>
            </w:r>
          </w:p>
        </w:tc>
        <w:tc>
          <w:tcPr>
            <w:tcW w:w="781" w:type="pct"/>
            <w:noWrap w:val="0"/>
            <w:vAlign w:val="center"/>
          </w:tcPr>
          <w:p w14:paraId="3A778F50">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z w:val="24"/>
                <w:szCs w:val="24"/>
              </w:rPr>
            </w:pPr>
            <w:r>
              <w:rPr>
                <w:rFonts w:hint="eastAsia" w:ascii="宋体" w:hAnsi="宋体" w:eastAsia="宋体" w:cs="宋体"/>
                <w:b/>
                <w:bCs/>
                <w:sz w:val="24"/>
                <w:szCs w:val="24"/>
              </w:rPr>
              <w:t>总价（万元）</w:t>
            </w:r>
          </w:p>
        </w:tc>
      </w:tr>
      <w:tr w14:paraId="45DE9C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 w:hRule="atLeast"/>
          <w:jc w:val="center"/>
        </w:trPr>
        <w:tc>
          <w:tcPr>
            <w:tcW w:w="389" w:type="pct"/>
            <w:noWrap w:val="0"/>
            <w:vAlign w:val="center"/>
          </w:tcPr>
          <w:p w14:paraId="7AB5B883">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c>
          <w:tcPr>
            <w:tcW w:w="2248" w:type="pct"/>
            <w:noWrap w:val="0"/>
            <w:vAlign w:val="center"/>
          </w:tcPr>
          <w:p w14:paraId="06D4B5EC">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人力资源职业技能实训云平台</w:t>
            </w:r>
          </w:p>
        </w:tc>
        <w:tc>
          <w:tcPr>
            <w:tcW w:w="370" w:type="pct"/>
            <w:noWrap w:val="0"/>
            <w:vAlign w:val="center"/>
          </w:tcPr>
          <w:p w14:paraId="25348FD3">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c>
          <w:tcPr>
            <w:tcW w:w="375" w:type="pct"/>
            <w:noWrap w:val="0"/>
            <w:vAlign w:val="center"/>
          </w:tcPr>
          <w:p w14:paraId="31FB556E">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套</w:t>
            </w:r>
          </w:p>
        </w:tc>
        <w:tc>
          <w:tcPr>
            <w:tcW w:w="834" w:type="pct"/>
            <w:noWrap w:val="0"/>
            <w:vAlign w:val="center"/>
          </w:tcPr>
          <w:p w14:paraId="41C64211">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30</w:t>
            </w:r>
          </w:p>
        </w:tc>
        <w:tc>
          <w:tcPr>
            <w:tcW w:w="781" w:type="pct"/>
            <w:noWrap w:val="0"/>
            <w:vAlign w:val="center"/>
          </w:tcPr>
          <w:p w14:paraId="08AF4339">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30</w:t>
            </w:r>
          </w:p>
        </w:tc>
      </w:tr>
      <w:tr w14:paraId="59CB47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389" w:type="pct"/>
            <w:noWrap w:val="0"/>
            <w:vAlign w:val="center"/>
          </w:tcPr>
          <w:p w14:paraId="614C74B3">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2</w:t>
            </w:r>
          </w:p>
        </w:tc>
        <w:tc>
          <w:tcPr>
            <w:tcW w:w="2248" w:type="pct"/>
            <w:noWrap w:val="0"/>
            <w:vAlign w:val="center"/>
          </w:tcPr>
          <w:p w14:paraId="0B0B240E">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人力资源大数据分析与经营决策云平台</w:t>
            </w:r>
          </w:p>
        </w:tc>
        <w:tc>
          <w:tcPr>
            <w:tcW w:w="370" w:type="pct"/>
            <w:noWrap w:val="0"/>
            <w:vAlign w:val="center"/>
          </w:tcPr>
          <w:p w14:paraId="40D94823">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1</w:t>
            </w:r>
          </w:p>
        </w:tc>
        <w:tc>
          <w:tcPr>
            <w:tcW w:w="375" w:type="pct"/>
            <w:noWrap w:val="0"/>
            <w:vAlign w:val="center"/>
          </w:tcPr>
          <w:p w14:paraId="639022A6">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套</w:t>
            </w:r>
          </w:p>
        </w:tc>
        <w:tc>
          <w:tcPr>
            <w:tcW w:w="834" w:type="pct"/>
            <w:noWrap w:val="0"/>
            <w:vAlign w:val="center"/>
          </w:tcPr>
          <w:p w14:paraId="16053167">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18.5</w:t>
            </w:r>
          </w:p>
        </w:tc>
        <w:tc>
          <w:tcPr>
            <w:tcW w:w="781" w:type="pct"/>
            <w:noWrap w:val="0"/>
            <w:vAlign w:val="center"/>
          </w:tcPr>
          <w:p w14:paraId="58067C39">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18.5</w:t>
            </w:r>
          </w:p>
        </w:tc>
      </w:tr>
    </w:tbl>
    <w:p w14:paraId="2C2C2619">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highlight w:val="none"/>
        </w:rPr>
      </w:pPr>
    </w:p>
    <w:p w14:paraId="23FEAACF">
      <w:pPr>
        <w:keepNext w:val="0"/>
        <w:keepLines w:val="0"/>
        <w:pageBreakBefore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二、设备主要参数清单：</w:t>
      </w:r>
    </w:p>
    <w:tbl>
      <w:tblPr>
        <w:tblStyle w:val="3"/>
        <w:tblW w:w="499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3"/>
        <w:gridCol w:w="638"/>
        <w:gridCol w:w="6380"/>
        <w:gridCol w:w="490"/>
        <w:gridCol w:w="537"/>
      </w:tblGrid>
      <w:tr w14:paraId="56F2DE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272" w:type="pct"/>
            <w:noWrap w:val="0"/>
            <w:vAlign w:val="center"/>
          </w:tcPr>
          <w:p w14:paraId="608C95C3">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z w:val="24"/>
                <w:szCs w:val="24"/>
              </w:rPr>
            </w:pPr>
            <w:r>
              <w:rPr>
                <w:rFonts w:hint="eastAsia" w:ascii="宋体" w:hAnsi="宋体" w:eastAsia="宋体" w:cs="宋体"/>
                <w:b/>
                <w:bCs/>
                <w:sz w:val="24"/>
                <w:szCs w:val="24"/>
              </w:rPr>
              <w:t>序号</w:t>
            </w:r>
          </w:p>
        </w:tc>
        <w:tc>
          <w:tcPr>
            <w:tcW w:w="375" w:type="pct"/>
            <w:noWrap w:val="0"/>
            <w:vAlign w:val="center"/>
          </w:tcPr>
          <w:p w14:paraId="7CCE511B">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z w:val="24"/>
                <w:szCs w:val="24"/>
              </w:rPr>
            </w:pPr>
            <w:r>
              <w:rPr>
                <w:rFonts w:hint="eastAsia" w:ascii="宋体" w:hAnsi="宋体" w:eastAsia="宋体" w:cs="宋体"/>
                <w:b/>
                <w:bCs/>
                <w:sz w:val="24"/>
                <w:szCs w:val="24"/>
              </w:rPr>
              <w:t>产品名称</w:t>
            </w:r>
          </w:p>
        </w:tc>
        <w:tc>
          <w:tcPr>
            <w:tcW w:w="3748" w:type="pct"/>
            <w:noWrap w:val="0"/>
            <w:vAlign w:val="center"/>
          </w:tcPr>
          <w:p w14:paraId="2D3B53A3">
            <w:pPr>
              <w:jc w:val="center"/>
              <w:rPr>
                <w:rFonts w:hint="default" w:ascii="宋体" w:hAnsi="宋体" w:eastAsia="宋体" w:cs="宋体"/>
                <w:b/>
                <w:bCs/>
                <w:color w:val="FF0000"/>
                <w:sz w:val="24"/>
                <w:szCs w:val="24"/>
                <w:highlight w:val="yellow"/>
                <w:lang w:val="en-US" w:eastAsia="zh-CN"/>
              </w:rPr>
            </w:pPr>
            <w:r>
              <w:rPr>
                <w:rFonts w:hint="eastAsia" w:ascii="宋体" w:hAnsi="宋体" w:eastAsia="宋体" w:cs="宋体"/>
                <w:b/>
                <w:bCs/>
                <w:sz w:val="24"/>
                <w:szCs w:val="24"/>
                <w:highlight w:val="none"/>
              </w:rPr>
              <w:t>详细参数</w:t>
            </w:r>
          </w:p>
        </w:tc>
        <w:tc>
          <w:tcPr>
            <w:tcW w:w="288" w:type="pct"/>
            <w:noWrap w:val="0"/>
            <w:vAlign w:val="center"/>
          </w:tcPr>
          <w:p w14:paraId="4DFD1049">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z w:val="24"/>
                <w:szCs w:val="24"/>
              </w:rPr>
            </w:pPr>
            <w:r>
              <w:rPr>
                <w:rFonts w:hint="eastAsia" w:ascii="宋体" w:hAnsi="宋体" w:eastAsia="宋体" w:cs="宋体"/>
                <w:b/>
                <w:bCs/>
                <w:sz w:val="24"/>
                <w:szCs w:val="24"/>
              </w:rPr>
              <w:t>数量</w:t>
            </w:r>
          </w:p>
        </w:tc>
        <w:tc>
          <w:tcPr>
            <w:tcW w:w="315" w:type="pct"/>
            <w:noWrap w:val="0"/>
            <w:vAlign w:val="center"/>
          </w:tcPr>
          <w:p w14:paraId="44DA5C53">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z w:val="24"/>
                <w:szCs w:val="24"/>
              </w:rPr>
            </w:pPr>
            <w:r>
              <w:rPr>
                <w:rFonts w:hint="eastAsia" w:ascii="宋体" w:hAnsi="宋体" w:eastAsia="宋体" w:cs="宋体"/>
                <w:b/>
                <w:bCs/>
                <w:sz w:val="24"/>
                <w:szCs w:val="24"/>
              </w:rPr>
              <w:t>单位</w:t>
            </w:r>
          </w:p>
        </w:tc>
      </w:tr>
      <w:tr w14:paraId="688C87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2" w:hRule="atLeast"/>
          <w:jc w:val="center"/>
        </w:trPr>
        <w:tc>
          <w:tcPr>
            <w:tcW w:w="272" w:type="pct"/>
            <w:noWrap w:val="0"/>
            <w:vAlign w:val="center"/>
          </w:tcPr>
          <w:p w14:paraId="68182B09">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c>
          <w:tcPr>
            <w:tcW w:w="375" w:type="pct"/>
            <w:noWrap w:val="0"/>
            <w:vAlign w:val="center"/>
          </w:tcPr>
          <w:p w14:paraId="02D9AD35">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人力资源职业技能实训云平台</w:t>
            </w:r>
          </w:p>
        </w:tc>
        <w:tc>
          <w:tcPr>
            <w:tcW w:w="3748" w:type="pct"/>
            <w:noWrap w:val="0"/>
            <w:vAlign w:val="center"/>
          </w:tcPr>
          <w:p w14:paraId="38EE7CD2">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auto"/>
              <w:rPr>
                <w:rFonts w:hint="eastAsia" w:ascii="宋体" w:hAnsi="宋体" w:eastAsia="宋体" w:cs="宋体"/>
                <w:b/>
                <w:bCs/>
                <w:kern w:val="0"/>
                <w:sz w:val="24"/>
                <w:szCs w:val="24"/>
                <w:lang w:val="en-US" w:eastAsia="zh-CN" w:bidi="ar"/>
              </w:rPr>
            </w:pPr>
            <w:r>
              <w:rPr>
                <w:rFonts w:hint="eastAsia" w:ascii="宋体" w:hAnsi="宋体" w:eastAsia="宋体" w:cs="宋体"/>
                <w:b/>
                <w:bCs/>
                <w:kern w:val="0"/>
                <w:sz w:val="24"/>
                <w:szCs w:val="24"/>
                <w:lang w:val="en-US" w:eastAsia="zh-CN" w:bidi="ar"/>
              </w:rPr>
              <w:t>（一）内容参数</w:t>
            </w:r>
          </w:p>
          <w:p w14:paraId="0F80DA5E">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1、HR技能实训云平台的核心是引导学生基于背景案例来进行人力资源职业技能实训，学生以企业人力资源从业者的角色完成相应工作任务，在过程中掌握完成工作任务的方法与技巧，规避实操工作中的风险。</w:t>
            </w:r>
          </w:p>
          <w:p w14:paraId="065540C2">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2、HR技能实训云平台核心内容由职业认知体验中心、关键技能实训中心两部分组成。每个内容部分包含3-7个内容模块，每个内容模块包含2-4项典型工作任务，整个实训平台总计不少于36项典型工作任务，可支撑48学时实训教学需求。</w:t>
            </w:r>
            <w:r>
              <w:rPr>
                <w:rFonts w:hint="eastAsia" w:ascii="宋体" w:hAnsi="宋体" w:eastAsia="宋体" w:cs="宋体"/>
                <w:b/>
                <w:bCs/>
                <w:kern w:val="0"/>
                <w:sz w:val="24"/>
                <w:szCs w:val="24"/>
                <w:lang w:val="en-US" w:eastAsia="zh-CN" w:bidi="ar"/>
              </w:rPr>
              <w:t>（</w:t>
            </w:r>
            <w:r>
              <w:rPr>
                <w:rFonts w:hint="eastAsia" w:ascii="宋体" w:hAnsi="宋体" w:eastAsia="宋体" w:cs="宋体"/>
                <w:b/>
                <w:bCs/>
                <w:kern w:val="0"/>
                <w:sz w:val="24"/>
                <w:lang w:bidi="ar"/>
              </w:rPr>
              <w:t>演示项1：现场提供演示</w:t>
            </w:r>
            <w:r>
              <w:rPr>
                <w:rFonts w:hint="eastAsia" w:ascii="宋体" w:hAnsi="宋体" w:eastAsia="宋体" w:cs="宋体"/>
                <w:b/>
                <w:bCs/>
                <w:kern w:val="0"/>
                <w:sz w:val="24"/>
                <w:szCs w:val="24"/>
                <w:lang w:val="en-US" w:eastAsia="zh-CN" w:bidi="ar"/>
              </w:rPr>
              <w:t>）</w:t>
            </w:r>
          </w:p>
          <w:p w14:paraId="36A933B4">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3、每个实训项目由6-12个步骤组成，实训步骤基于企业真实工作情景和完成该任务的典型操作流程步骤，每个操作步骤根据企业实操过程中的风险点、易错点设置相应实训任务，配套任务参照答案、任务思路指引、任务工作方法技巧等，每一个实训项目完成后会形成一份实训报告。</w:t>
            </w:r>
          </w:p>
          <w:p w14:paraId="212D7F83">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4、职业认知体验中心内容包含趋势变革与新技术认知、共享服务认知、岗位认知与体验三个模块。</w:t>
            </w:r>
          </w:p>
          <w:p w14:paraId="0DDF1B05">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5、关键技能实训中心内容包含招聘服务、人事服务、培训服务、薪税服务、福利服务、绩效考核服务、数据报表服务等7大典型工作领域。</w:t>
            </w:r>
          </w:p>
          <w:p w14:paraId="3A05300B">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6、趋势变革与新技术认知模块包含：HR三支柱-人力资源三支柱认知，HR数字化-人力资源数字化转型；共享服务认知模块包含HRSSC-人力资源共享服务认知，HR服务外包-人力资源服务业认知；岗位认知与体验模块包括HR岗位群-HRBP岗位认知，HR晋升路线-从HRA到HRD：HR的晋级路线图等认知点，整体上不少于6个认知实训项目。</w:t>
            </w:r>
            <w:r>
              <w:rPr>
                <w:rFonts w:hint="eastAsia" w:ascii="宋体" w:hAnsi="宋体" w:eastAsia="宋体" w:cs="宋体"/>
                <w:b/>
                <w:bCs/>
                <w:kern w:val="0"/>
                <w:sz w:val="24"/>
                <w:szCs w:val="24"/>
                <w:lang w:val="en-US" w:eastAsia="zh-CN" w:bidi="ar"/>
              </w:rPr>
              <w:t>（</w:t>
            </w:r>
            <w:r>
              <w:rPr>
                <w:rFonts w:hint="eastAsia" w:ascii="宋体" w:hAnsi="宋体" w:eastAsia="宋体" w:cs="宋体"/>
                <w:b/>
                <w:bCs/>
                <w:kern w:val="0"/>
                <w:sz w:val="24"/>
                <w:lang w:bidi="ar"/>
              </w:rPr>
              <w:t>演示项</w:t>
            </w:r>
            <w:r>
              <w:rPr>
                <w:rFonts w:hint="eastAsia" w:ascii="宋体" w:hAnsi="宋体" w:eastAsia="宋体" w:cs="宋体"/>
                <w:b/>
                <w:bCs/>
                <w:kern w:val="0"/>
                <w:sz w:val="24"/>
                <w:lang w:val="en-US" w:eastAsia="zh-CN" w:bidi="ar"/>
              </w:rPr>
              <w:t>2</w:t>
            </w:r>
            <w:r>
              <w:rPr>
                <w:rFonts w:hint="eastAsia" w:ascii="宋体" w:hAnsi="宋体" w:eastAsia="宋体" w:cs="宋体"/>
                <w:b/>
                <w:bCs/>
                <w:kern w:val="0"/>
                <w:sz w:val="24"/>
                <w:lang w:bidi="ar"/>
              </w:rPr>
              <w:t>：现场提供演示</w:t>
            </w:r>
            <w:r>
              <w:rPr>
                <w:rFonts w:hint="eastAsia" w:ascii="宋体" w:hAnsi="宋体" w:eastAsia="宋体" w:cs="宋体"/>
                <w:b/>
                <w:bCs/>
                <w:kern w:val="0"/>
                <w:sz w:val="24"/>
                <w:szCs w:val="24"/>
                <w:lang w:val="en-US" w:eastAsia="zh-CN" w:bidi="ar"/>
              </w:rPr>
              <w:t>）</w:t>
            </w:r>
          </w:p>
          <w:p w14:paraId="25B49ACD">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7、招聘服务模块包括：招聘需求-月度招聘需求收集；雇前支持-offer沟通；校园招聘-校园招聘一般内容；招聘支持-面试邀约与组织实施；人才测评-无领导小组面试模拟等不少于5个实训项目。</w:t>
            </w:r>
          </w:p>
          <w:p w14:paraId="0DF6E23C">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8、人事服务模块包括：人事手续-入职手续，人事手续-离职手续；人事事务-劳动合同，人事事务-人事证明；员工咨询-员工咨询应答；员工关系-员工投诉管理等不少于6个实训项目。</w:t>
            </w:r>
          </w:p>
          <w:p w14:paraId="06F7BC4B">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9、培训服务模块包括：培训需求分析-培训需求分析一般步骤；培训项目设计-新员工入职培训；培训组织与实施-培训实施支持，培训组织与实施-培训现场突发事件处理，培训组织与实施-培训项目设计与实施一般内容等不少于5个实训项目。</w:t>
            </w:r>
            <w:r>
              <w:rPr>
                <w:rFonts w:hint="eastAsia" w:ascii="宋体" w:hAnsi="宋体" w:eastAsia="宋体" w:cs="宋体"/>
                <w:b/>
                <w:bCs/>
                <w:kern w:val="0"/>
                <w:sz w:val="24"/>
                <w:szCs w:val="24"/>
                <w:lang w:val="en-US" w:eastAsia="zh-CN" w:bidi="ar"/>
              </w:rPr>
              <w:t>（</w:t>
            </w:r>
            <w:r>
              <w:rPr>
                <w:rFonts w:hint="eastAsia" w:ascii="宋体" w:hAnsi="宋体" w:eastAsia="宋体" w:cs="宋体"/>
                <w:b/>
                <w:bCs/>
                <w:kern w:val="0"/>
                <w:sz w:val="24"/>
                <w:lang w:bidi="ar"/>
              </w:rPr>
              <w:t>演示项</w:t>
            </w:r>
            <w:r>
              <w:rPr>
                <w:rFonts w:hint="eastAsia" w:ascii="宋体" w:hAnsi="宋体" w:eastAsia="宋体" w:cs="宋体"/>
                <w:b/>
                <w:bCs/>
                <w:kern w:val="0"/>
                <w:sz w:val="24"/>
                <w:lang w:val="en-US" w:eastAsia="zh-CN" w:bidi="ar"/>
              </w:rPr>
              <w:t>3</w:t>
            </w:r>
            <w:r>
              <w:rPr>
                <w:rFonts w:hint="eastAsia" w:ascii="宋体" w:hAnsi="宋体" w:eastAsia="宋体" w:cs="宋体"/>
                <w:b/>
                <w:bCs/>
                <w:kern w:val="0"/>
                <w:sz w:val="24"/>
                <w:lang w:bidi="ar"/>
              </w:rPr>
              <w:t>：现场提供演示</w:t>
            </w:r>
            <w:r>
              <w:rPr>
                <w:rFonts w:hint="eastAsia" w:ascii="宋体" w:hAnsi="宋体" w:eastAsia="宋体" w:cs="宋体"/>
                <w:b/>
                <w:bCs/>
                <w:kern w:val="0"/>
                <w:sz w:val="24"/>
                <w:szCs w:val="24"/>
                <w:lang w:val="en-US" w:eastAsia="zh-CN" w:bidi="ar"/>
              </w:rPr>
              <w:t>）</w:t>
            </w:r>
          </w:p>
          <w:p w14:paraId="6479477B">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10、薪税服务模块包括：薪资核算与发放-薪资核算；薪酬调研-薪酬调查实施；个税服务；薪酬体系设计-绩效奖励方案设计等不少于4个实训项目。</w:t>
            </w:r>
          </w:p>
          <w:p w14:paraId="0A9ABAB5">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11、福利服务模块包括：社会保险-社会保险系统操作；住房公积金-住房公积金系统操作；待遇申领-员工工伤事故处理；弹性福利-员工福利调研与配置等不少于4个实训项目。</w:t>
            </w:r>
            <w:r>
              <w:rPr>
                <w:rFonts w:hint="eastAsia" w:ascii="宋体" w:hAnsi="宋体" w:eastAsia="宋体" w:cs="宋体"/>
                <w:b/>
                <w:bCs/>
                <w:kern w:val="0"/>
                <w:sz w:val="24"/>
                <w:szCs w:val="24"/>
                <w:lang w:val="en-US" w:eastAsia="zh-CN" w:bidi="ar"/>
              </w:rPr>
              <w:t>（</w:t>
            </w:r>
            <w:r>
              <w:rPr>
                <w:rFonts w:hint="eastAsia" w:ascii="宋体" w:hAnsi="宋体" w:eastAsia="宋体" w:cs="宋体"/>
                <w:b/>
                <w:bCs/>
                <w:kern w:val="0"/>
                <w:sz w:val="24"/>
                <w:lang w:bidi="ar"/>
              </w:rPr>
              <w:t>演示项</w:t>
            </w:r>
            <w:r>
              <w:rPr>
                <w:rFonts w:hint="eastAsia" w:ascii="宋体" w:hAnsi="宋体" w:eastAsia="宋体" w:cs="宋体"/>
                <w:b/>
                <w:bCs/>
                <w:kern w:val="0"/>
                <w:sz w:val="24"/>
                <w:lang w:val="en-US" w:eastAsia="zh-CN" w:bidi="ar"/>
              </w:rPr>
              <w:t>4</w:t>
            </w:r>
            <w:r>
              <w:rPr>
                <w:rFonts w:hint="eastAsia" w:ascii="宋体" w:hAnsi="宋体" w:eastAsia="宋体" w:cs="宋体"/>
                <w:b/>
                <w:bCs/>
                <w:kern w:val="0"/>
                <w:sz w:val="24"/>
                <w:lang w:bidi="ar"/>
              </w:rPr>
              <w:t>：现场提供演示</w:t>
            </w:r>
            <w:r>
              <w:rPr>
                <w:rFonts w:hint="eastAsia" w:ascii="宋体" w:hAnsi="宋体" w:eastAsia="宋体" w:cs="宋体"/>
                <w:b/>
                <w:bCs/>
                <w:kern w:val="0"/>
                <w:sz w:val="24"/>
                <w:szCs w:val="24"/>
                <w:lang w:val="en-US" w:eastAsia="zh-CN" w:bidi="ar"/>
              </w:rPr>
              <w:t>）</w:t>
            </w:r>
          </w:p>
          <w:p w14:paraId="2899E011">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12、绩效考核服务模块包括：绩效考核实施-绩效考核组织实施一般内容；绩效结果应用-绩效指标计分方法等不少于2个实训项目。</w:t>
            </w:r>
          </w:p>
          <w:p w14:paraId="0F883EA2">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13、人事数据报表服务模块包括：人力资源数据分析-人力资源数据分析一般内容；招聘培训数据报表-招聘过程数据分析；员工基础数据报表-人员异动数据报表；薪酬绩效数据报表-薪酬数据报表一般内容等不少于4个实训项目。</w:t>
            </w:r>
          </w:p>
          <w:p w14:paraId="0FC6766D">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auto"/>
              <w:rPr>
                <w:rFonts w:hint="eastAsia" w:ascii="宋体" w:hAnsi="宋体" w:eastAsia="宋体" w:cs="宋体"/>
                <w:b/>
                <w:bCs/>
                <w:kern w:val="0"/>
                <w:sz w:val="24"/>
                <w:szCs w:val="24"/>
                <w:lang w:val="en-US" w:eastAsia="zh-CN" w:bidi="ar"/>
              </w:rPr>
            </w:pPr>
            <w:r>
              <w:rPr>
                <w:rFonts w:hint="eastAsia" w:ascii="宋体" w:hAnsi="宋体" w:eastAsia="宋体" w:cs="宋体"/>
                <w:b/>
                <w:bCs/>
                <w:kern w:val="0"/>
                <w:sz w:val="24"/>
                <w:szCs w:val="24"/>
                <w:lang w:val="en-US" w:eastAsia="zh-CN" w:bidi="ar"/>
              </w:rPr>
              <w:t>（二）功能参数</w:t>
            </w:r>
          </w:p>
          <w:p w14:paraId="3B52B9A1">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1、支持“管理员”“教师”“学生”账号三级管理模式。“管理员”创建并分配教师账号、访问并调用实训项目内容、创建并分配学生账号；“教师”账号权限包括访问并调用实训项目内容、创建并分配学生账号；“学生”账号权限包括参与教师分配的实训项目活动，完成学习任务。</w:t>
            </w:r>
          </w:p>
          <w:p w14:paraId="759513E5">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2、系统支持两种常规注册及登陆模式，即自主注册和批量导入。自主注册采用手机号验证码注册模式，教师和学生可以由邮箱或手机注册，再由管理员审批后可登陆。批量导入模式由管理员导入。</w:t>
            </w:r>
          </w:p>
          <w:p w14:paraId="2641A19A">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3、批量导入账号支持上传EXCEL格式文件一键导入功能。可以在4步以内一次性导入任意数量的教师或学生账号。集中分配教师账号时可以分配工号、教师姓名、学院、专业、职称、职务、密码；集中分配学生账号时可以分配学号、学生姓名、学院、专业、班级、入学年份、密码。</w:t>
            </w:r>
          </w:p>
          <w:p w14:paraId="4EC89F37">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4、支持完成实训任务后系统即时给出任务反馈，在完成整个实训项目所有任务后，可以形成PDF版本的综合实训报告。</w:t>
            </w:r>
          </w:p>
          <w:p w14:paraId="2C9D8373">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5、在实训报告中，系统提供每个步骤的参考答案、解题思路，对学生的实验思路进行有针对性的指引。还以图、表的形式对班级整体情况的横向对比、步骤难度分析、个性化学习建议等内容进行反馈。</w:t>
            </w:r>
          </w:p>
          <w:p w14:paraId="006FF30A">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6、支持主客观打分相结合，系统提供一个可编辑的Excel表格，教师可以根据需要通过调整实验得分和教师得分的权重，整体上管理学生的总得分。</w:t>
            </w:r>
          </w:p>
          <w:p w14:paraId="751C3F8E">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7、教师除了在实验的分配日志里查看学生的实验报告外，系统提供每个实训项目班级完成情况的数据报表，实训进度、成绩分布、步骤得分等一目了然，支持教师导出学生实训成绩，支持批量下载实训报告。</w:t>
            </w:r>
          </w:p>
          <w:p w14:paraId="6497F596">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8、支持多个实训项目综合成绩配置，教师设置不同权重后，系统自动计算综合实训成绩。</w:t>
            </w:r>
          </w:p>
          <w:p w14:paraId="2027A2C4">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auto"/>
              <w:rPr>
                <w:rFonts w:hint="eastAsia" w:ascii="宋体" w:hAnsi="宋体" w:eastAsia="宋体" w:cs="宋体"/>
                <w:b/>
                <w:bCs/>
                <w:kern w:val="0"/>
                <w:sz w:val="24"/>
                <w:szCs w:val="24"/>
                <w:lang w:val="en-US" w:eastAsia="zh-CN" w:bidi="ar"/>
              </w:rPr>
            </w:pPr>
            <w:r>
              <w:rPr>
                <w:rFonts w:hint="eastAsia" w:ascii="宋体" w:hAnsi="宋体" w:eastAsia="宋体" w:cs="宋体"/>
                <w:b/>
                <w:bCs/>
                <w:kern w:val="0"/>
                <w:sz w:val="24"/>
                <w:szCs w:val="24"/>
                <w:lang w:val="en-US" w:eastAsia="zh-CN" w:bidi="ar"/>
              </w:rPr>
              <w:t>（三）技术参数</w:t>
            </w:r>
          </w:p>
          <w:p w14:paraId="538BFD6D">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1、系统采用B/S架构。</w:t>
            </w:r>
          </w:p>
          <w:p w14:paraId="28B7CF9C">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2、系统利用各项静态检查和自动化测试技术保证产品质量，充分利用硬件加速等新功能保证体验，冗余代码少，资源按需加载，与服务器之间的数据交互量小，速度快，安全保险。</w:t>
            </w:r>
          </w:p>
          <w:p w14:paraId="62A550C5">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3、系统可在外网环境下随时随地访问，支持Windows/Mac OS等主流操作系统及Chrome等主流浏览器访问。</w:t>
            </w:r>
          </w:p>
          <w:p w14:paraId="7BFC71AD">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kern w:val="0"/>
                <w:sz w:val="24"/>
                <w:szCs w:val="24"/>
                <w:lang w:val="en-US" w:eastAsia="zh-CN" w:bidi="ar"/>
              </w:rPr>
            </w:pPr>
          </w:p>
          <w:p w14:paraId="0B42AC8F">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auto"/>
              <w:rPr>
                <w:rFonts w:hint="eastAsia" w:ascii="宋体" w:hAnsi="宋体" w:eastAsia="宋体" w:cs="宋体"/>
                <w:b/>
                <w:bCs/>
                <w:kern w:val="0"/>
                <w:sz w:val="24"/>
                <w:szCs w:val="24"/>
                <w:lang w:val="en-US" w:eastAsia="zh-CN" w:bidi="ar"/>
              </w:rPr>
            </w:pPr>
            <w:r>
              <w:rPr>
                <w:rFonts w:hint="eastAsia" w:ascii="宋体" w:hAnsi="宋体" w:eastAsia="宋体" w:cs="宋体"/>
                <w:b/>
                <w:bCs/>
                <w:kern w:val="0"/>
                <w:sz w:val="24"/>
                <w:szCs w:val="24"/>
                <w:lang w:val="en-US" w:eastAsia="zh-CN" w:bidi="ar"/>
              </w:rPr>
              <w:t>人力资源三支柱课训一体资源包软件</w:t>
            </w:r>
          </w:p>
          <w:p w14:paraId="7C7A707F">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auto"/>
              <w:rPr>
                <w:rFonts w:hint="eastAsia" w:ascii="宋体" w:hAnsi="宋体" w:eastAsia="宋体" w:cs="宋体"/>
                <w:b/>
                <w:bCs/>
                <w:kern w:val="0"/>
                <w:sz w:val="24"/>
                <w:szCs w:val="24"/>
                <w:lang w:val="en-US" w:eastAsia="zh-CN" w:bidi="ar"/>
              </w:rPr>
            </w:pPr>
            <w:r>
              <w:rPr>
                <w:rFonts w:hint="eastAsia" w:ascii="宋体" w:hAnsi="宋体" w:eastAsia="宋体" w:cs="宋体"/>
                <w:b/>
                <w:bCs/>
                <w:kern w:val="0"/>
                <w:sz w:val="24"/>
                <w:szCs w:val="24"/>
                <w:lang w:val="en-US" w:eastAsia="zh-CN" w:bidi="ar"/>
              </w:rPr>
              <w:t>一、技术要求</w:t>
            </w:r>
          </w:p>
          <w:p w14:paraId="08CA38DC">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1、系统须采用B/S架构。</w:t>
            </w:r>
          </w:p>
          <w:p w14:paraId="26379FF3">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2、各类系统数据及资源须采用云备份技术，防宕机损失，保护数据安全；</w:t>
            </w:r>
          </w:p>
          <w:p w14:paraId="7C8E2A98">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3、系统须在网环境下访问，支持Windows/Mac OS等主流操作系统及Chrome等主流浏览器；</w:t>
            </w:r>
          </w:p>
          <w:p w14:paraId="1A0D27C5">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auto"/>
              <w:rPr>
                <w:rFonts w:hint="eastAsia" w:ascii="宋体" w:hAnsi="宋体" w:eastAsia="宋体" w:cs="宋体"/>
                <w:b/>
                <w:bCs/>
                <w:kern w:val="0"/>
                <w:sz w:val="24"/>
                <w:szCs w:val="24"/>
                <w:lang w:val="en-US" w:eastAsia="zh-CN" w:bidi="ar"/>
              </w:rPr>
            </w:pPr>
            <w:r>
              <w:rPr>
                <w:rFonts w:hint="eastAsia" w:ascii="宋体" w:hAnsi="宋体" w:eastAsia="宋体" w:cs="宋体"/>
                <w:b/>
                <w:bCs/>
                <w:kern w:val="0"/>
                <w:sz w:val="24"/>
                <w:szCs w:val="24"/>
                <w:lang w:val="en-US" w:eastAsia="zh-CN" w:bidi="ar"/>
              </w:rPr>
              <w:t>二、内容要求</w:t>
            </w:r>
          </w:p>
          <w:p w14:paraId="39BBB9FE">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1、产品须满足学校开设32课时《人力资源三支柱》理论和实训课程的需要，内容需涵盖课程配套课程大纲、课程配套课件、配套案例、测验题目、随堂实训、视频资源等形态；</w:t>
            </w:r>
          </w:p>
          <w:p w14:paraId="09BB5A27">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2、产品须包含HR三支柱概述、人力资源业务伙伴——HRBP、人力资源领域专家——HRCOE、人力资源共享服务中心——HRSSC、三支柱在人力资源管理中的新趋势等核心知识模块下的配套课件、随堂实训不少于12个、随堂测验题目不少于200题、视频资源不少于10个；</w:t>
            </w:r>
          </w:p>
          <w:p w14:paraId="509B18DC">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3、HR三支柱概述模块中须包含人力资源管理三支柱转型背景、HR四角色模型介绍，HR三支柱及分工协作、HR三支柱核心理念与价值等核心知识点；</w:t>
            </w:r>
          </w:p>
          <w:p w14:paraId="520A0A91">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4、人力资源业务伙伴——HRBP模块中须包含HRBP职责、定位、价值、素质能力要求等介绍，HRBP与传统HR的区别、HRBP配置及隶属关系，HRBP人才来源及发展路径，HRBP在业务部门的工作模式等核心知识点；</w:t>
            </w:r>
          </w:p>
          <w:p w14:paraId="65795A71">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5、人力资源领域专家——HRCOE模块中须包含HRCOE价值、职责、定位、知识与能力素质要求，HRCOE人才培养策略、人员配置与考核，HRCOE设计人力资源体系的关键要点、HRCOE业务运作流程等核心知识点；</w:t>
            </w:r>
          </w:p>
          <w:p w14:paraId="4148236F">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6、人力资源共享服务中心——HRSSC模块中须包含HRSSC职责、定位、价值意义，HRSSC人员配备与发展、能力素质要求，HRSSC共享内容设计、HRSSC发展新趋势等核心知识点；</w:t>
            </w:r>
          </w:p>
          <w:p w14:paraId="63DF8A27">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7、三支柱在人力资源管理中的新趋势模块中须包含人力资源管理发展与变革、三支柱转型的渐进性、三支柱转型面临的挑战、人力资源数智化应用等核心知识点；</w:t>
            </w:r>
          </w:p>
          <w:p w14:paraId="053A5960">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8、随堂实训项目不少于12个，满足8学时实训需求，须包含企业人员需求分析、岗位设计、工作说明、招聘需求分析、人才画像构建、结构化面试、行为描述面试、公文筐面试、薪酬谈判、招聘策略设计、招聘渠道选择、招聘广告撰写、甄选面试准备等内容；</w:t>
            </w:r>
            <w:r>
              <w:rPr>
                <w:rFonts w:hint="eastAsia" w:ascii="宋体" w:hAnsi="宋体" w:eastAsia="宋体" w:cs="宋体"/>
                <w:b/>
                <w:bCs/>
                <w:kern w:val="0"/>
                <w:sz w:val="24"/>
                <w:szCs w:val="24"/>
                <w:lang w:val="en-US" w:eastAsia="zh-CN" w:bidi="ar"/>
              </w:rPr>
              <w:t>（</w:t>
            </w:r>
            <w:r>
              <w:rPr>
                <w:rFonts w:hint="eastAsia" w:ascii="宋体" w:hAnsi="宋体" w:eastAsia="宋体" w:cs="宋体"/>
                <w:b/>
                <w:bCs/>
                <w:kern w:val="0"/>
                <w:sz w:val="24"/>
                <w:lang w:bidi="ar"/>
              </w:rPr>
              <w:t>演示项</w:t>
            </w:r>
            <w:r>
              <w:rPr>
                <w:rFonts w:hint="eastAsia" w:ascii="宋体" w:hAnsi="宋体" w:eastAsia="宋体" w:cs="宋体"/>
                <w:b/>
                <w:bCs/>
                <w:kern w:val="0"/>
                <w:sz w:val="24"/>
                <w:lang w:val="en-US" w:eastAsia="zh-CN" w:bidi="ar"/>
              </w:rPr>
              <w:t>5</w:t>
            </w:r>
            <w:r>
              <w:rPr>
                <w:rFonts w:hint="eastAsia" w:ascii="宋体" w:hAnsi="宋体" w:eastAsia="宋体" w:cs="宋体"/>
                <w:b/>
                <w:bCs/>
                <w:kern w:val="0"/>
                <w:sz w:val="24"/>
                <w:lang w:bidi="ar"/>
              </w:rPr>
              <w:t>：现场提供演示</w:t>
            </w:r>
            <w:r>
              <w:rPr>
                <w:rFonts w:hint="eastAsia" w:ascii="宋体" w:hAnsi="宋体" w:eastAsia="宋体" w:cs="宋体"/>
                <w:b/>
                <w:bCs/>
                <w:kern w:val="0"/>
                <w:sz w:val="24"/>
                <w:szCs w:val="24"/>
                <w:lang w:val="en-US" w:eastAsia="zh-CN" w:bidi="ar"/>
              </w:rPr>
              <w:t>）</w:t>
            </w:r>
          </w:p>
          <w:p w14:paraId="4E8CA0DF">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9、课内微实训须支持结构化问答、文件优化改错、立体场景图纠错、公文处理、视频有效信息提取、情景对话模拟等多种实训形态；</w:t>
            </w:r>
          </w:p>
          <w:p w14:paraId="0B1DA39C">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10、视频资源不少于10个，须包含互联网企业招聘需求分析、敏捷胜任素质建模、人才画像、社交招聘技巧、面试考官培训、LGD面试技巧、薪酬谈判技巧、招聘评估等核心知识点或案例的讲解视频；</w:t>
            </w:r>
          </w:p>
          <w:p w14:paraId="68F8B7D2">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kern w:val="0"/>
                <w:sz w:val="24"/>
                <w:szCs w:val="24"/>
                <w:lang w:val="en-US" w:eastAsia="zh-CN" w:bidi="ar"/>
              </w:rPr>
            </w:pPr>
          </w:p>
          <w:p w14:paraId="00BB19FE">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auto"/>
              <w:rPr>
                <w:rFonts w:hint="eastAsia" w:ascii="宋体" w:hAnsi="宋体" w:eastAsia="宋体" w:cs="宋体"/>
                <w:b/>
                <w:bCs/>
                <w:kern w:val="0"/>
                <w:sz w:val="24"/>
                <w:szCs w:val="24"/>
                <w:lang w:val="en-US" w:eastAsia="zh-CN" w:bidi="ar"/>
              </w:rPr>
            </w:pPr>
            <w:r>
              <w:rPr>
                <w:rFonts w:hint="eastAsia" w:ascii="宋体" w:hAnsi="宋体" w:eastAsia="宋体" w:cs="宋体"/>
                <w:b/>
                <w:bCs/>
                <w:kern w:val="0"/>
                <w:sz w:val="24"/>
                <w:szCs w:val="24"/>
                <w:lang w:val="en-US" w:eastAsia="zh-CN" w:bidi="ar"/>
              </w:rPr>
              <w:t>三、功能要求</w:t>
            </w:r>
          </w:p>
          <w:p w14:paraId="6DC2897D">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1、产品须支持教师在资源库中查看各个知识模块下配备的微实训、案例、视频教学资源，并通过查看资源介绍了解其适用性；</w:t>
            </w:r>
          </w:p>
          <w:p w14:paraId="115A4C4D">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2、产品须支持教师从资源包中获取精品示例课程、案例、视频等多种类型的资源并应用于教学，也可对获取到的资源进行二次编辑以更好地满足个性化的教学需要；</w:t>
            </w:r>
          </w:p>
          <w:p w14:paraId="2B690921">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3、产品须支持教师在编辑课程章节内容时将资源包内提供的微实训、案例、视频等多种类型的资源插入到已有课程内容中，进行组合改造以丰富课程内容与教学形式；</w:t>
            </w:r>
          </w:p>
          <w:p w14:paraId="0F89750E">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4、产品须支持教师在课堂上使用已插入的微实训课件开展随堂实训活动并使用电脑或PAD远程控制课堂实训的开始、结束，学生须可使用手机扫码参与活动并根据实训要求完成训练；</w:t>
            </w:r>
          </w:p>
          <w:p w14:paraId="5C6BC675">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5、随堂实训过程中，产品须支持教师实时查看学生实训过程数据并将学生实训成果投屏展示以便点评讲解，系统须留存微实训活动相关数据并提供给教师下载；</w:t>
            </w:r>
          </w:p>
          <w:p w14:paraId="2B317ADF">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6、产品须支持教师在课堂上基于已插入的案例类型课件中的思考题开展课堂互动，以个人或小组形式实时收集学生回答并投屏展示以便点评讲解，活动结束后还须可下载系统留存的详细活动数据；</w:t>
            </w:r>
          </w:p>
          <w:p w14:paraId="79706926">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kern w:val="0"/>
                <w:sz w:val="24"/>
                <w:szCs w:val="24"/>
                <w:lang w:val="en-US" w:eastAsia="zh-CN" w:bidi="ar"/>
              </w:rPr>
            </w:pPr>
          </w:p>
          <w:p w14:paraId="05610BB1">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auto"/>
              <w:rPr>
                <w:rFonts w:hint="eastAsia" w:ascii="宋体" w:hAnsi="宋体" w:eastAsia="宋体" w:cs="宋体"/>
                <w:b/>
                <w:bCs/>
                <w:kern w:val="0"/>
                <w:sz w:val="24"/>
                <w:szCs w:val="24"/>
                <w:lang w:val="en-US" w:eastAsia="zh-CN" w:bidi="ar"/>
              </w:rPr>
            </w:pPr>
            <w:r>
              <w:rPr>
                <w:rFonts w:hint="eastAsia" w:ascii="宋体" w:hAnsi="宋体" w:eastAsia="宋体" w:cs="宋体"/>
                <w:b/>
                <w:bCs/>
                <w:kern w:val="0"/>
                <w:sz w:val="24"/>
                <w:szCs w:val="24"/>
                <w:lang w:val="en-US" w:eastAsia="zh-CN" w:bidi="ar"/>
              </w:rPr>
              <w:t>人力资源共享服务课训一体资源包软件参数</w:t>
            </w:r>
          </w:p>
          <w:p w14:paraId="7D314056">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auto"/>
              <w:rPr>
                <w:rFonts w:hint="eastAsia" w:ascii="宋体" w:hAnsi="宋体" w:eastAsia="宋体" w:cs="宋体"/>
                <w:b/>
                <w:bCs/>
                <w:kern w:val="0"/>
                <w:sz w:val="24"/>
                <w:szCs w:val="24"/>
                <w:lang w:val="en-US" w:eastAsia="zh-CN" w:bidi="ar"/>
              </w:rPr>
            </w:pPr>
            <w:r>
              <w:rPr>
                <w:rFonts w:hint="eastAsia" w:ascii="宋体" w:hAnsi="宋体" w:eastAsia="宋体" w:cs="宋体"/>
                <w:b/>
                <w:bCs/>
                <w:kern w:val="0"/>
                <w:sz w:val="24"/>
                <w:szCs w:val="24"/>
                <w:lang w:val="en-US" w:eastAsia="zh-CN" w:bidi="ar"/>
              </w:rPr>
              <w:t>一、技术要求</w:t>
            </w:r>
          </w:p>
          <w:p w14:paraId="0D347392">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1、系统须采用B/S架构。</w:t>
            </w:r>
          </w:p>
          <w:p w14:paraId="3C2E2D48">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2、各类系统数据及资源须采用云备份技术，防宕机损失，保护数据安全；</w:t>
            </w:r>
          </w:p>
          <w:p w14:paraId="2065B879">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3、系统须在外网环境下访问，支持Windows/Mac OS等主流操作系统及Chrome等主流浏览器；</w:t>
            </w:r>
          </w:p>
          <w:p w14:paraId="50805915">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auto"/>
              <w:rPr>
                <w:rFonts w:hint="eastAsia" w:ascii="宋体" w:hAnsi="宋体" w:eastAsia="宋体" w:cs="宋体"/>
                <w:b/>
                <w:bCs/>
                <w:kern w:val="0"/>
                <w:sz w:val="24"/>
                <w:szCs w:val="24"/>
                <w:lang w:val="en-US" w:eastAsia="zh-CN" w:bidi="ar"/>
              </w:rPr>
            </w:pPr>
            <w:r>
              <w:rPr>
                <w:rFonts w:hint="eastAsia" w:ascii="宋体" w:hAnsi="宋体" w:eastAsia="宋体" w:cs="宋体"/>
                <w:b/>
                <w:bCs/>
                <w:kern w:val="0"/>
                <w:sz w:val="24"/>
                <w:szCs w:val="24"/>
                <w:lang w:val="en-US" w:eastAsia="zh-CN" w:bidi="ar"/>
              </w:rPr>
              <w:t>二、内容要求</w:t>
            </w:r>
          </w:p>
          <w:p w14:paraId="5C619288">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1、产品须满足学校开设32课时《人力资源共享服务》理论和实训课程的需要，内容需涵盖课程配套课程大纲、课程配套课件、随堂实训、配套案例、测验题目、视频资源等；</w:t>
            </w:r>
          </w:p>
          <w:p w14:paraId="31AD432D">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2、产品须包含人力资源共享服务中心现状与发展、人力资源共享服务中心运营建设、人力资源共享服务常见概念与工具、人力资源共享服务的流程梳理与产品化、人力资源共享服务人员发展成长、典型企业共享服务中心案例、人力资源共享服务实操等核心知识模块下的课件、随堂实训不少于12个、随堂测验题目不少于200题、视频资源不少于10个；</w:t>
            </w:r>
          </w:p>
          <w:p w14:paraId="74F4B0AD">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3、人力资源共享服务中心现状与发展模块中须包含人力资源共享服务的前世今生、共享服务业务全景、泛共享思想理念，人力资源共享服务中心的服务管理、服务理念、服务意识、服务质量、服务评价等核心知识点；</w:t>
            </w:r>
          </w:p>
          <w:p w14:paraId="7ECE6EB7">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4、人力资源共享服务中心运营建设模块中须包含人力资源共享服务中心构建意义、定位与职能范围、面临的挑战、未来发展趋势，人力资源共享服务中心经典模型、边打仗边建设的当代模式、共建共营的创新生态模式，人力资源共享服务中心运营、服务范围的确定标准和地域分级、共享服务交付的分层服务、 HRSSC 的布局与选址、HRSSC 的内部监管等核心知识点；</w:t>
            </w:r>
          </w:p>
          <w:p w14:paraId="481442EB">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5、人力资源共享服务常见概念与工具模块中须包含常见概念：SLA、SOP、KPI、人服比，常见工具：RACI、PDCA，定价与结算模式，服务分层、员工联络中心等核心知识点；</w:t>
            </w:r>
          </w:p>
          <w:p w14:paraId="0347D2CF">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6、人力资源共享服务的流程梳理与产品化模块中须包含共享服务中心流程梳理、流程再造五步法、流程线上化，共享服务中心数字化转型、产品化思维驱动、服务设计贯穿、大数据分析、市场化运作等核心知识点；</w:t>
            </w:r>
          </w:p>
          <w:p w14:paraId="5A20B602">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7、人力资源共享服务人员发展成长模块中须包含常见共享服务中心内部组织模式、共享服务中心扮演哪些角色，共享服务中心人才素质模型、HRSSC内部新兴角色、员工职业通道等核心知识点；</w:t>
            </w:r>
          </w:p>
          <w:p w14:paraId="29FAEA26">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8、随堂实训项目不少于12个，满足8学时实训需求，须包含简历筛选、校园宣讲、甄选面试准备、小组面试场地布置、背景调查、录用通知、入职手续办理、离职手续办理、劳动合同签订、社保缴纳模拟、公积金办理模拟、个税申报模拟等内容；</w:t>
            </w:r>
            <w:r>
              <w:rPr>
                <w:rFonts w:hint="eastAsia" w:ascii="宋体" w:hAnsi="宋体" w:eastAsia="宋体" w:cs="宋体"/>
                <w:b/>
                <w:bCs/>
                <w:kern w:val="0"/>
                <w:sz w:val="24"/>
                <w:szCs w:val="24"/>
                <w:lang w:val="en-US" w:eastAsia="zh-CN" w:bidi="ar"/>
              </w:rPr>
              <w:t>（</w:t>
            </w:r>
            <w:r>
              <w:rPr>
                <w:rFonts w:hint="eastAsia" w:ascii="宋体" w:hAnsi="宋体" w:eastAsia="宋体" w:cs="宋体"/>
                <w:b/>
                <w:bCs/>
                <w:kern w:val="0"/>
                <w:sz w:val="24"/>
                <w:lang w:bidi="ar"/>
              </w:rPr>
              <w:t>演示项</w:t>
            </w:r>
            <w:r>
              <w:rPr>
                <w:rFonts w:hint="eastAsia" w:ascii="宋体" w:hAnsi="宋体" w:eastAsia="宋体" w:cs="宋体"/>
                <w:b/>
                <w:bCs/>
                <w:kern w:val="0"/>
                <w:sz w:val="24"/>
                <w:lang w:val="en-US" w:eastAsia="zh-CN" w:bidi="ar"/>
              </w:rPr>
              <w:t>6</w:t>
            </w:r>
            <w:r>
              <w:rPr>
                <w:rFonts w:hint="eastAsia" w:ascii="宋体" w:hAnsi="宋体" w:eastAsia="宋体" w:cs="宋体"/>
                <w:b/>
                <w:bCs/>
                <w:kern w:val="0"/>
                <w:sz w:val="24"/>
                <w:lang w:bidi="ar"/>
              </w:rPr>
              <w:t>：现场提供演示</w:t>
            </w:r>
            <w:r>
              <w:rPr>
                <w:rFonts w:hint="eastAsia" w:ascii="宋体" w:hAnsi="宋体" w:eastAsia="宋体" w:cs="宋体"/>
                <w:b/>
                <w:bCs/>
                <w:kern w:val="0"/>
                <w:sz w:val="24"/>
                <w:szCs w:val="24"/>
                <w:lang w:val="en-US" w:eastAsia="zh-CN" w:bidi="ar"/>
              </w:rPr>
              <w:t>）</w:t>
            </w:r>
          </w:p>
          <w:p w14:paraId="7E3A63EE">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9、随堂实训须支持结构化问答、文件优化改错、立体场景图纠错等多种实训形态；</w:t>
            </w:r>
          </w:p>
          <w:p w14:paraId="41DA2B6D">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10、视频资源不少于10个，须包含利用朋友圈挖掘候选人、简历制作技巧、履历分析方法与技巧、校园宣讲技巧、社交招聘技巧、背景调查、入职手续办理、休假申请、新员工入职手续办理等核心知识点或案例的讲解视频；</w:t>
            </w:r>
          </w:p>
          <w:p w14:paraId="750D9CC4">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auto"/>
              <w:rPr>
                <w:rFonts w:hint="eastAsia" w:ascii="宋体" w:hAnsi="宋体" w:eastAsia="宋体" w:cs="宋体"/>
                <w:b/>
                <w:bCs/>
                <w:kern w:val="0"/>
                <w:sz w:val="24"/>
                <w:szCs w:val="24"/>
                <w:lang w:val="en-US" w:eastAsia="zh-CN" w:bidi="ar"/>
              </w:rPr>
            </w:pPr>
            <w:r>
              <w:rPr>
                <w:rFonts w:hint="eastAsia" w:ascii="宋体" w:hAnsi="宋体" w:eastAsia="宋体" w:cs="宋体"/>
                <w:b/>
                <w:bCs/>
                <w:kern w:val="0"/>
                <w:sz w:val="24"/>
                <w:szCs w:val="24"/>
                <w:lang w:val="en-US" w:eastAsia="zh-CN" w:bidi="ar"/>
              </w:rPr>
              <w:t>三、功能要求</w:t>
            </w:r>
          </w:p>
          <w:p w14:paraId="2654D8A0">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1、产品须支持教师从资源包中获取课程、案例、视频等多种类型的资源并应用于教学，也可对获取到的资源进行二次编辑以更好地满足个性化的教学需要；</w:t>
            </w:r>
          </w:p>
          <w:p w14:paraId="4625A4AC">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2、产品须支持教师在编辑课程章节内容时将资源包内提供的微实训、案例、视频等多种类型的资源插入到已有课程内容中，进行组合改造以丰富课程内容与教学形式；</w:t>
            </w:r>
          </w:p>
          <w:p w14:paraId="4529B08C">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3、产品须支持教师在课堂上使用已插入的微实训课件开展随堂实训活动并使用电脑或PAD远程控制课堂实训的开始、结束，学生须可使用手机扫码参与活动并根据实训要求完成训练；</w:t>
            </w:r>
          </w:p>
          <w:p w14:paraId="7EE3D59D">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4、随堂实训过程中，产品须支持教师实时查看学生实训过程数据并将学生实训成果投屏展示以便点评讲解，系统须留存微实训活动相关数据并提供给教师下载；</w:t>
            </w:r>
          </w:p>
          <w:p w14:paraId="70D7250C">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b/>
                <w:bCs/>
                <w:sz w:val="24"/>
                <w:szCs w:val="24"/>
              </w:rPr>
            </w:pPr>
            <w:r>
              <w:rPr>
                <w:rFonts w:hint="eastAsia" w:ascii="宋体" w:hAnsi="宋体" w:eastAsia="宋体" w:cs="宋体"/>
                <w:kern w:val="0"/>
                <w:sz w:val="24"/>
                <w:szCs w:val="24"/>
                <w:lang w:val="en-US" w:eastAsia="zh-CN" w:bidi="ar"/>
              </w:rPr>
              <w:t>5、产品须支持教师在课堂上基于已插入的案例类型课件中的思考题开展课堂互动，以个人或小组形式实时收集学生回答并投屏展示以便点评讲解，活动结束后还须可下载系统留存的详细活动数据；</w:t>
            </w:r>
          </w:p>
        </w:tc>
        <w:tc>
          <w:tcPr>
            <w:tcW w:w="288" w:type="pct"/>
            <w:noWrap w:val="0"/>
            <w:vAlign w:val="center"/>
          </w:tcPr>
          <w:p w14:paraId="5410F71E">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c>
          <w:tcPr>
            <w:tcW w:w="315" w:type="pct"/>
            <w:noWrap w:val="0"/>
            <w:vAlign w:val="center"/>
          </w:tcPr>
          <w:p w14:paraId="35DAA73C">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套</w:t>
            </w:r>
          </w:p>
        </w:tc>
      </w:tr>
      <w:tr w14:paraId="5BFEE6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jc w:val="center"/>
        </w:trPr>
        <w:tc>
          <w:tcPr>
            <w:tcW w:w="272" w:type="pct"/>
            <w:noWrap w:val="0"/>
            <w:vAlign w:val="center"/>
          </w:tcPr>
          <w:p w14:paraId="1C976F72">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2</w:t>
            </w:r>
          </w:p>
        </w:tc>
        <w:tc>
          <w:tcPr>
            <w:tcW w:w="375" w:type="pct"/>
            <w:noWrap w:val="0"/>
            <w:vAlign w:val="center"/>
          </w:tcPr>
          <w:p w14:paraId="79D2427E">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 xml:space="preserve"> 人力资源大数据分析与经营决策云平台</w:t>
            </w:r>
          </w:p>
        </w:tc>
        <w:tc>
          <w:tcPr>
            <w:tcW w:w="3748" w:type="pct"/>
            <w:noWrap w:val="0"/>
            <w:vAlign w:val="center"/>
          </w:tcPr>
          <w:p w14:paraId="5F822A6E">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auto"/>
              <w:rPr>
                <w:rFonts w:hint="eastAsia" w:ascii="宋体" w:hAnsi="宋体" w:eastAsia="宋体" w:cs="宋体"/>
                <w:b/>
                <w:bCs/>
                <w:kern w:val="0"/>
                <w:sz w:val="24"/>
                <w:szCs w:val="24"/>
                <w:lang w:val="en-US" w:eastAsia="zh-CN" w:bidi="ar"/>
              </w:rPr>
            </w:pPr>
            <w:r>
              <w:rPr>
                <w:rFonts w:hint="eastAsia" w:ascii="宋体" w:hAnsi="宋体" w:eastAsia="宋体" w:cs="宋体"/>
                <w:b/>
                <w:bCs/>
                <w:kern w:val="0"/>
                <w:sz w:val="24"/>
                <w:szCs w:val="24"/>
                <w:lang w:val="en-US" w:eastAsia="zh-CN" w:bidi="ar"/>
              </w:rPr>
              <w:t>一、技术参数</w:t>
            </w:r>
          </w:p>
          <w:p w14:paraId="3036A6D5">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1、系统采用B/S架构。</w:t>
            </w:r>
          </w:p>
          <w:p w14:paraId="1177AA77">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2、系统利用各项静态检查和自动化测试技术保证产品质量，充分利用硬件加速等新功能保证体验，冗余代码少，资源按需加载，与服务器之间的数据交互量小，速度快，安全保险。</w:t>
            </w:r>
          </w:p>
          <w:p w14:paraId="0D313FF7">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3、系统可在外网环境下随时随地访问，PC端支持Windows/Mac OS等主流操作系统及Chrome等主流浏览器访问。</w:t>
            </w:r>
          </w:p>
          <w:p w14:paraId="4EEC944A">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auto"/>
              <w:rPr>
                <w:rFonts w:hint="eastAsia" w:ascii="宋体" w:hAnsi="宋体" w:eastAsia="宋体" w:cs="宋体"/>
                <w:b/>
                <w:bCs/>
                <w:kern w:val="0"/>
                <w:sz w:val="24"/>
                <w:szCs w:val="24"/>
                <w:lang w:val="en-US" w:eastAsia="zh-CN" w:bidi="ar"/>
              </w:rPr>
            </w:pPr>
            <w:r>
              <w:rPr>
                <w:rFonts w:hint="eastAsia" w:ascii="宋体" w:hAnsi="宋体" w:eastAsia="宋体" w:cs="宋体"/>
                <w:b/>
                <w:bCs/>
                <w:kern w:val="0"/>
                <w:sz w:val="24"/>
                <w:szCs w:val="24"/>
                <w:lang w:val="en-US" w:eastAsia="zh-CN" w:bidi="ar"/>
              </w:rPr>
              <w:t>二、功能模块参数</w:t>
            </w:r>
          </w:p>
          <w:p w14:paraId="031D7780">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平台将人力资源数据分析的方法、流程、技术与工作场景相融合，结合竞争对抗类游戏化元素，帮助学生通过解决实际业务问题，体验数据分析对管理决策的影响，培养数据分析思维及技能。平台分为学生端、教师端、管理员端三大功能模块。</w:t>
            </w:r>
          </w:p>
          <w:p w14:paraId="1C055982">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auto"/>
              <w:rPr>
                <w:rFonts w:hint="eastAsia" w:ascii="宋体" w:hAnsi="宋体" w:eastAsia="宋体" w:cs="宋体"/>
                <w:b/>
                <w:bCs/>
                <w:kern w:val="0"/>
                <w:sz w:val="24"/>
                <w:szCs w:val="24"/>
                <w:lang w:val="en-US" w:eastAsia="zh-CN" w:bidi="ar"/>
              </w:rPr>
            </w:pPr>
            <w:r>
              <w:rPr>
                <w:rFonts w:hint="eastAsia" w:ascii="宋体" w:hAnsi="宋体" w:eastAsia="宋体" w:cs="宋体"/>
                <w:b/>
                <w:bCs/>
                <w:kern w:val="0"/>
                <w:sz w:val="24"/>
                <w:szCs w:val="24"/>
                <w:lang w:val="en-US" w:eastAsia="zh-CN" w:bidi="ar"/>
              </w:rPr>
              <w:t>（一）学生端</w:t>
            </w:r>
          </w:p>
          <w:p w14:paraId="4D2AAD5F">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1、支持学生通过数据分析，解决不同具体业务问题，建立数据分析思维。内容涉及招聘、薪酬、培训、组织发展、离职预测、人员配置、人才盘点等常见人力资源工作场景。</w:t>
            </w:r>
          </w:p>
          <w:p w14:paraId="5DB47C18">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2、支持学生根据数据分析结果，完成相关管理决策，并得到相应的反馈。涉及业务问题包括但不限于人员配置需求应对问题、工作饱和度问题、离职预测与前置干预问题、组织氛围提升问题、降本增效问题、招聘渠道有效性问题等。</w:t>
            </w:r>
            <w:r>
              <w:rPr>
                <w:rFonts w:hint="eastAsia" w:ascii="宋体" w:hAnsi="宋体" w:eastAsia="宋体" w:cs="宋体"/>
                <w:b/>
                <w:bCs/>
                <w:kern w:val="0"/>
                <w:sz w:val="24"/>
                <w:szCs w:val="24"/>
                <w:lang w:val="en-US" w:eastAsia="zh-CN" w:bidi="ar"/>
              </w:rPr>
              <w:t>（</w:t>
            </w:r>
            <w:r>
              <w:rPr>
                <w:rFonts w:hint="eastAsia" w:ascii="宋体" w:hAnsi="宋体" w:eastAsia="宋体" w:cs="宋体"/>
                <w:b/>
                <w:bCs/>
                <w:kern w:val="0"/>
                <w:sz w:val="24"/>
                <w:lang w:bidi="ar"/>
              </w:rPr>
              <w:t>演示项</w:t>
            </w:r>
            <w:r>
              <w:rPr>
                <w:rFonts w:hint="eastAsia" w:ascii="宋体" w:hAnsi="宋体" w:eastAsia="宋体" w:cs="宋体"/>
                <w:b/>
                <w:bCs/>
                <w:kern w:val="0"/>
                <w:sz w:val="24"/>
                <w:lang w:val="en-US" w:eastAsia="zh-CN" w:bidi="ar"/>
              </w:rPr>
              <w:t>7</w:t>
            </w:r>
            <w:r>
              <w:rPr>
                <w:rFonts w:hint="eastAsia" w:ascii="宋体" w:hAnsi="宋体" w:eastAsia="宋体" w:cs="宋体"/>
                <w:b/>
                <w:bCs/>
                <w:kern w:val="0"/>
                <w:sz w:val="24"/>
                <w:lang w:bidi="ar"/>
              </w:rPr>
              <w:t>：现场提供演示</w:t>
            </w:r>
            <w:r>
              <w:rPr>
                <w:rFonts w:hint="eastAsia" w:ascii="宋体" w:hAnsi="宋体" w:eastAsia="宋体" w:cs="宋体"/>
                <w:b/>
                <w:bCs/>
                <w:kern w:val="0"/>
                <w:sz w:val="24"/>
                <w:szCs w:val="24"/>
                <w:lang w:val="en-US" w:eastAsia="zh-CN" w:bidi="ar"/>
              </w:rPr>
              <w:t>）</w:t>
            </w:r>
            <w:r>
              <w:rPr>
                <w:rFonts w:hint="eastAsia" w:ascii="宋体" w:hAnsi="宋体" w:eastAsia="宋体" w:cs="宋体"/>
                <w:kern w:val="0"/>
                <w:sz w:val="24"/>
                <w:szCs w:val="24"/>
                <w:lang w:val="en-US" w:eastAsia="zh-CN" w:bidi="ar"/>
              </w:rPr>
              <w:t xml:space="preserve"> </w:t>
            </w:r>
          </w:p>
          <w:p w14:paraId="56804A6B">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3、数据分析流程包括：了解案例背景、明确分析目的、数据获取、数据清洗、可视化分析、完成故事版、做出人力资源决策。</w:t>
            </w:r>
            <w:r>
              <w:rPr>
                <w:rFonts w:hint="eastAsia" w:ascii="宋体" w:hAnsi="宋体" w:eastAsia="宋体" w:cs="宋体"/>
                <w:b/>
                <w:bCs/>
                <w:kern w:val="0"/>
                <w:sz w:val="24"/>
                <w:szCs w:val="24"/>
                <w:lang w:val="en-US" w:eastAsia="zh-CN" w:bidi="ar"/>
              </w:rPr>
              <w:t>（</w:t>
            </w:r>
            <w:r>
              <w:rPr>
                <w:rFonts w:hint="eastAsia" w:ascii="宋体" w:hAnsi="宋体" w:eastAsia="宋体" w:cs="宋体"/>
                <w:b/>
                <w:bCs/>
                <w:kern w:val="0"/>
                <w:sz w:val="24"/>
                <w:lang w:bidi="ar"/>
              </w:rPr>
              <w:t>演示项</w:t>
            </w:r>
            <w:r>
              <w:rPr>
                <w:rFonts w:hint="eastAsia" w:ascii="宋体" w:hAnsi="宋体" w:eastAsia="宋体" w:cs="宋体"/>
                <w:b/>
                <w:bCs/>
                <w:kern w:val="0"/>
                <w:sz w:val="24"/>
                <w:lang w:val="en-US" w:eastAsia="zh-CN" w:bidi="ar"/>
              </w:rPr>
              <w:t>8</w:t>
            </w:r>
            <w:r>
              <w:rPr>
                <w:rFonts w:hint="eastAsia" w:ascii="宋体" w:hAnsi="宋体" w:eastAsia="宋体" w:cs="宋体"/>
                <w:b/>
                <w:bCs/>
                <w:kern w:val="0"/>
                <w:sz w:val="24"/>
                <w:lang w:bidi="ar"/>
              </w:rPr>
              <w:t>：现场提供演示</w:t>
            </w:r>
            <w:r>
              <w:rPr>
                <w:rFonts w:hint="eastAsia" w:ascii="宋体" w:hAnsi="宋体" w:eastAsia="宋体" w:cs="宋体"/>
                <w:b/>
                <w:bCs/>
                <w:kern w:val="0"/>
                <w:sz w:val="24"/>
                <w:szCs w:val="24"/>
                <w:lang w:val="en-US" w:eastAsia="zh-CN" w:bidi="ar"/>
              </w:rPr>
              <w:t>）</w:t>
            </w:r>
          </w:p>
          <w:p w14:paraId="6EFDA7A3">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a)了解案例背景：了解所在行业、所在公司情况，为后续做出合理的管理决策奠定基础；</w:t>
            </w:r>
          </w:p>
          <w:p w14:paraId="298D0EA0">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b)明确分析目的：在具体工作场景中，通过NPC对话深入了解当前的业务问题，总结提炼本次人力资源数据分析的目标及思路；</w:t>
            </w:r>
          </w:p>
          <w:p w14:paraId="40B8C761">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c)数据获取：根据所建立的数据分析思路，获取所需数据，并整理为原始数据表；</w:t>
            </w:r>
          </w:p>
          <w:p w14:paraId="7355AF17">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d)数据清洗：设置清洗规则，将原始数据表中的数据进行处理，清洗内容包括但不限于缺失值、异常值、重复值等；</w:t>
            </w:r>
          </w:p>
          <w:p w14:paraId="1404EF1C">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e)可视化分析：结合具体业务问题，根据分析指标，选择相应的可视化图表，图表包括不限于柱状图、饼图、条形图、折线图、散点图、气泡图、雷达图等，支持图表的不同呈现设计，包括但不限于图表颜色、大小、标签等；</w:t>
            </w:r>
          </w:p>
          <w:p w14:paraId="61313772">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f)完成故事版：结合来自各方的背景信息，对可视化图表进行分析，发现问题、分析原因，产生洞察，形成结构化故事版；</w:t>
            </w:r>
          </w:p>
          <w:p w14:paraId="23299B3A">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g)做出人力资源决策：不同业务问题会涉及不同人力资源决策，学生需根据分析结果判断、选择最佳决策，提交后系统将根据学生的不同决策给出不同反馈，影响后续模拟经营。</w:t>
            </w:r>
          </w:p>
          <w:p w14:paraId="0A11DD6D">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4、高仿真工作场景，实时显示本团队以及整个市场的模拟经营动态。主页模拟真实办公环境，数据分析与业务问题相结合，提供沉浸式体验。</w:t>
            </w:r>
          </w:p>
          <w:p w14:paraId="712C3D4B">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5、模拟经营部分支持学生端不同的竞争策略。团队可在多种企业文化和人才战略的背景下展开模拟经营活动。模拟经营内容高度反映人力资源行业真实挑战，类型包括调整发展路线、使用特色卡牌、抢占有限资源等。</w:t>
            </w:r>
          </w:p>
          <w:p w14:paraId="2462C87B">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kern w:val="0"/>
                <w:sz w:val="24"/>
                <w:szCs w:val="24"/>
                <w:lang w:val="en-US" w:eastAsia="zh-CN" w:bidi="ar"/>
              </w:rPr>
              <w:t>6、调整发展路线，学生可以通过选择不同的CEO类型、公司地址、企业文化、人才战略在模拟经营不同阶段获得不同的竞争优势，支持不少于100种竞争策</w:t>
            </w:r>
            <w:r>
              <w:rPr>
                <w:rFonts w:hint="eastAsia" w:ascii="宋体" w:hAnsi="宋体" w:eastAsia="宋体" w:cs="宋体"/>
                <w:color w:val="000000"/>
                <w:kern w:val="0"/>
                <w:sz w:val="24"/>
                <w:szCs w:val="24"/>
                <w:lang w:val="en-US" w:eastAsia="zh-CN" w:bidi="ar"/>
              </w:rPr>
              <w:t>略路线。</w:t>
            </w:r>
          </w:p>
          <w:p w14:paraId="52915F63">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b/>
                <w:bCs/>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7、使用特色卡牌，增加多种游戏元素，学生可以在不同阶段使用各类特色卡牌扭转竞争格局，</w:t>
            </w:r>
            <w:r>
              <w:rPr>
                <w:rFonts w:hint="eastAsia" w:ascii="宋体" w:hAnsi="宋体" w:eastAsia="宋体" w:cs="宋体"/>
                <w:b w:val="0"/>
                <w:bCs w:val="0"/>
                <w:color w:val="000000"/>
                <w:kern w:val="0"/>
                <w:sz w:val="24"/>
                <w:szCs w:val="24"/>
                <w:highlight w:val="none"/>
                <w:lang w:val="en-US" w:eastAsia="zh-CN" w:bidi="ar"/>
              </w:rPr>
              <w:t>支持多种竞争策略工具卡牌</w:t>
            </w:r>
            <w:r>
              <w:rPr>
                <w:rFonts w:hint="eastAsia" w:ascii="宋体" w:hAnsi="宋体" w:eastAsia="宋体" w:cs="宋体"/>
                <w:color w:val="000000"/>
                <w:kern w:val="0"/>
                <w:sz w:val="24"/>
                <w:szCs w:val="24"/>
                <w:lang w:val="en-US" w:eastAsia="zh-CN" w:bidi="ar"/>
              </w:rPr>
              <w:t>，数量不少于20种。</w:t>
            </w:r>
            <w:r>
              <w:rPr>
                <w:rFonts w:hint="eastAsia" w:ascii="宋体" w:hAnsi="宋体" w:eastAsia="宋体" w:cs="宋体"/>
                <w:b/>
                <w:bCs/>
                <w:color w:val="000000"/>
                <w:kern w:val="0"/>
                <w:sz w:val="24"/>
                <w:szCs w:val="24"/>
                <w:lang w:val="en-US" w:eastAsia="zh-CN" w:bidi="ar"/>
              </w:rPr>
              <w:t>（</w:t>
            </w:r>
            <w:r>
              <w:rPr>
                <w:rFonts w:hint="eastAsia" w:ascii="宋体" w:hAnsi="宋体" w:eastAsia="宋体" w:cs="宋体"/>
                <w:b/>
                <w:bCs/>
                <w:color w:val="000000"/>
                <w:kern w:val="0"/>
                <w:sz w:val="24"/>
                <w:lang w:bidi="ar"/>
              </w:rPr>
              <w:t>演示项</w:t>
            </w:r>
            <w:r>
              <w:rPr>
                <w:rFonts w:hint="eastAsia" w:ascii="宋体" w:hAnsi="宋体" w:eastAsia="宋体" w:cs="宋体"/>
                <w:b/>
                <w:bCs/>
                <w:color w:val="000000"/>
                <w:kern w:val="0"/>
                <w:sz w:val="24"/>
                <w:lang w:val="en-US" w:eastAsia="zh-CN" w:bidi="ar"/>
              </w:rPr>
              <w:t>9</w:t>
            </w:r>
            <w:r>
              <w:rPr>
                <w:rFonts w:hint="eastAsia" w:ascii="宋体" w:hAnsi="宋体" w:eastAsia="宋体" w:cs="宋体"/>
                <w:b/>
                <w:bCs/>
                <w:color w:val="000000"/>
                <w:kern w:val="0"/>
                <w:sz w:val="24"/>
                <w:lang w:bidi="ar"/>
              </w:rPr>
              <w:t>：现场提供演示</w:t>
            </w:r>
            <w:r>
              <w:rPr>
                <w:rFonts w:hint="eastAsia" w:ascii="宋体" w:hAnsi="宋体" w:eastAsia="宋体" w:cs="宋体"/>
                <w:b/>
                <w:bCs/>
                <w:color w:val="000000"/>
                <w:kern w:val="0"/>
                <w:sz w:val="24"/>
                <w:szCs w:val="24"/>
                <w:lang w:val="en-US" w:eastAsia="zh-CN" w:bidi="ar"/>
              </w:rPr>
              <w:t xml:space="preserve">） </w:t>
            </w:r>
          </w:p>
          <w:p w14:paraId="780C8132">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8、抢占有限资源，支持多种资源竞争，竞争形态各异且符合行业特色。结合企业业务特征进行人力资源贮备竞争，结合企业发展战略进行高管竞争，结合企业员工发展进行培训服务竞争，结合市场动向与人力资源现状进行市场份额竞争等。</w:t>
            </w:r>
          </w:p>
          <w:p w14:paraId="0E545E6F">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b/>
                <w:bCs/>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9、薪酬调整页面，支持通过饼图实时查看薪酬支出和调薪率的变动；</w:t>
            </w:r>
            <w:r>
              <w:rPr>
                <w:rFonts w:hint="eastAsia" w:ascii="宋体" w:hAnsi="宋体" w:eastAsia="宋体" w:cs="宋体"/>
                <w:b w:val="0"/>
                <w:bCs w:val="0"/>
                <w:color w:val="000000"/>
                <w:kern w:val="0"/>
                <w:sz w:val="24"/>
                <w:szCs w:val="24"/>
                <w:highlight w:val="none"/>
                <w:lang w:val="en-US" w:eastAsia="zh-CN" w:bidi="ar"/>
              </w:rPr>
              <w:t>支持统计图表分析</w:t>
            </w:r>
            <w:r>
              <w:rPr>
                <w:rFonts w:hint="eastAsia" w:ascii="宋体" w:hAnsi="宋体" w:eastAsia="宋体" w:cs="宋体"/>
                <w:color w:val="000000"/>
                <w:kern w:val="0"/>
                <w:sz w:val="24"/>
                <w:szCs w:val="24"/>
                <w:lang w:val="en-US" w:eastAsia="zh-CN" w:bidi="ar"/>
              </w:rPr>
              <w:t>实时查看当前各部门薪酬的最大值、上四分位值、中位值、下四分位值和最小值。</w:t>
            </w:r>
            <w:r>
              <w:rPr>
                <w:rFonts w:hint="eastAsia" w:ascii="宋体" w:hAnsi="宋体" w:eastAsia="宋体" w:cs="宋体"/>
                <w:b/>
                <w:bCs/>
                <w:color w:val="000000"/>
                <w:kern w:val="0"/>
                <w:sz w:val="24"/>
                <w:szCs w:val="24"/>
                <w:lang w:val="en-US" w:eastAsia="zh-CN" w:bidi="ar"/>
              </w:rPr>
              <w:t>（</w:t>
            </w:r>
            <w:r>
              <w:rPr>
                <w:rFonts w:hint="eastAsia" w:ascii="宋体" w:hAnsi="宋体" w:eastAsia="宋体" w:cs="宋体"/>
                <w:b/>
                <w:bCs/>
                <w:color w:val="000000"/>
                <w:kern w:val="0"/>
                <w:sz w:val="24"/>
                <w:lang w:bidi="ar"/>
              </w:rPr>
              <w:t>演示项</w:t>
            </w:r>
            <w:r>
              <w:rPr>
                <w:rFonts w:hint="eastAsia" w:ascii="宋体" w:hAnsi="宋体" w:eastAsia="宋体" w:cs="宋体"/>
                <w:b/>
                <w:bCs/>
                <w:color w:val="000000"/>
                <w:kern w:val="0"/>
                <w:sz w:val="24"/>
                <w:lang w:val="en-US" w:eastAsia="zh-CN" w:bidi="ar"/>
              </w:rPr>
              <w:t>10</w:t>
            </w:r>
            <w:r>
              <w:rPr>
                <w:rFonts w:hint="eastAsia" w:ascii="宋体" w:hAnsi="宋体" w:eastAsia="宋体" w:cs="宋体"/>
                <w:b/>
                <w:bCs/>
                <w:color w:val="000000"/>
                <w:kern w:val="0"/>
                <w:sz w:val="24"/>
                <w:lang w:bidi="ar"/>
              </w:rPr>
              <w:t>：现场提供演示</w:t>
            </w:r>
            <w:r>
              <w:rPr>
                <w:rFonts w:hint="eastAsia" w:ascii="宋体" w:hAnsi="宋体" w:eastAsia="宋体" w:cs="宋体"/>
                <w:b/>
                <w:bCs/>
                <w:color w:val="000000"/>
                <w:kern w:val="0"/>
                <w:sz w:val="24"/>
                <w:szCs w:val="24"/>
                <w:lang w:val="en-US" w:eastAsia="zh-CN" w:bidi="ar"/>
              </w:rPr>
              <w:t>）</w:t>
            </w:r>
          </w:p>
          <w:p w14:paraId="13F3B12B">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10、支持学生通过分析企业现状、市场趋势和模拟经营数据指标制定竞争策略。指标包括但不限于：市场总量，市场份额占比，企业魅力值、忠诚度等。</w:t>
            </w:r>
          </w:p>
          <w:p w14:paraId="037DE8CC">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11、支持即时智能反馈。学生端每一个周期的模拟，系统都自动反馈相应的数据指标，为学生的后续操作提供决策数据支撑。</w:t>
            </w:r>
          </w:p>
          <w:p w14:paraId="6E3F3806">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12、支持学生下载在可视化分析区制作的图表，作为制作答辩PPT的素材。</w:t>
            </w:r>
          </w:p>
          <w:p w14:paraId="6AF9B71A">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13、支持学生在线约赛，可创建自己的比赛活动，或加入他人创建的比赛活动，支持单人模式和团队模式加入。</w:t>
            </w:r>
          </w:p>
          <w:p w14:paraId="3A75542D">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auto"/>
              <w:rPr>
                <w:rFonts w:hint="eastAsia" w:ascii="宋体" w:hAnsi="宋体" w:eastAsia="宋体" w:cs="宋体"/>
                <w:b/>
                <w:bCs/>
                <w:kern w:val="0"/>
                <w:sz w:val="24"/>
                <w:szCs w:val="24"/>
                <w:lang w:val="en-US" w:eastAsia="zh-CN" w:bidi="ar"/>
              </w:rPr>
            </w:pPr>
            <w:r>
              <w:rPr>
                <w:rFonts w:hint="eastAsia" w:ascii="宋体" w:hAnsi="宋体" w:eastAsia="宋体" w:cs="宋体"/>
                <w:b/>
                <w:bCs/>
                <w:kern w:val="0"/>
                <w:sz w:val="24"/>
                <w:szCs w:val="24"/>
                <w:lang w:val="en-US" w:eastAsia="zh-CN" w:bidi="ar"/>
              </w:rPr>
              <w:t>（二）教师端</w:t>
            </w:r>
          </w:p>
          <w:p w14:paraId="77E9E25A">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1、教师端主要用于教学管理，支持教师创建并管理赛区，具体包括管理赛区成员，例如将组织内的学生成员批量添加到赛区内；管理赛区战队，创建并分配成员；查看关联活动详情。</w:t>
            </w:r>
          </w:p>
          <w:p w14:paraId="7A30FED8">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2、支持教师创建并管理活动，具体包括某个活动的活动规则、设置关联赛区、设置关联案例等。</w:t>
            </w:r>
          </w:p>
          <w:p w14:paraId="1C96174E">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3、支持教师控制比赛进行、暂停状态，可强制提交、强制弃权等。</w:t>
            </w:r>
          </w:p>
          <w:p w14:paraId="280AF742">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4、支持教师在比赛过程动态查看不同战队的运行情况数据统计。</w:t>
            </w:r>
          </w:p>
          <w:p w14:paraId="158A73D3">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5、支持教师查看各战队在各赛点中提交状况及各环节得分，以及各战队的动态综合得分、排名</w:t>
            </w:r>
          </w:p>
          <w:p w14:paraId="269330BA">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6、支持教师集中查看、下载所有战队的成绩报告。</w:t>
            </w:r>
          </w:p>
          <w:p w14:paraId="78C31C6B">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7、支持教师查看所有获得授权案例的基础信息。</w:t>
            </w:r>
          </w:p>
          <w:p w14:paraId="38802D47">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auto"/>
              <w:rPr>
                <w:rFonts w:hint="eastAsia" w:ascii="宋体" w:hAnsi="宋体" w:eastAsia="宋体" w:cs="宋体"/>
                <w:b/>
                <w:bCs/>
                <w:kern w:val="0"/>
                <w:sz w:val="24"/>
                <w:szCs w:val="24"/>
                <w:lang w:val="en-US" w:eastAsia="zh-CN" w:bidi="ar"/>
              </w:rPr>
            </w:pPr>
            <w:r>
              <w:rPr>
                <w:rFonts w:hint="eastAsia" w:ascii="宋体" w:hAnsi="宋体" w:eastAsia="宋体" w:cs="宋体"/>
                <w:b/>
                <w:bCs/>
                <w:kern w:val="0"/>
                <w:sz w:val="24"/>
                <w:szCs w:val="24"/>
                <w:lang w:val="en-US" w:eastAsia="zh-CN" w:bidi="ar"/>
              </w:rPr>
              <w:t>（三）管理员端</w:t>
            </w:r>
          </w:p>
          <w:p w14:paraId="5E29FF02">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1、管理员端支持创建并分配教师账号，集中分配教师账号时可以分配工号、教师姓名、学院、专业、职称、职务、密码，可以重置教师账号的用户名、密码。</w:t>
            </w:r>
          </w:p>
          <w:p w14:paraId="784527E5">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2、管理员端支持创建并分配学生账号，集中分配学生账号时可以分配学号、学生姓名、学院、专业、班级、入学年份、密码；可以重置学生账号的用户名、密码。</w:t>
            </w:r>
          </w:p>
          <w:p w14:paraId="7E0C4866">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3、管理员端可以创建行政班。</w:t>
            </w:r>
          </w:p>
          <w:p w14:paraId="5BEBA938">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333333"/>
                <w:sz w:val="24"/>
                <w:szCs w:val="24"/>
                <w:shd w:val="clear" w:color="auto" w:fill="FFFFFF"/>
              </w:rPr>
            </w:pPr>
            <w:r>
              <w:rPr>
                <w:rFonts w:hint="eastAsia" w:ascii="宋体" w:hAnsi="宋体" w:eastAsia="宋体" w:cs="宋体"/>
                <w:kern w:val="0"/>
                <w:sz w:val="24"/>
                <w:szCs w:val="24"/>
                <w:lang w:val="en-US" w:eastAsia="zh-CN" w:bidi="ar"/>
              </w:rPr>
              <w:t>4、管理员端涵盖所有教师账号的功能，并能对教师成员进行管理。</w:t>
            </w:r>
          </w:p>
        </w:tc>
        <w:tc>
          <w:tcPr>
            <w:tcW w:w="288" w:type="pct"/>
            <w:noWrap w:val="0"/>
            <w:vAlign w:val="center"/>
          </w:tcPr>
          <w:p w14:paraId="772482C6">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w:t>
            </w:r>
          </w:p>
        </w:tc>
        <w:tc>
          <w:tcPr>
            <w:tcW w:w="315" w:type="pct"/>
            <w:noWrap w:val="0"/>
            <w:vAlign w:val="center"/>
          </w:tcPr>
          <w:p w14:paraId="5EA71BB0">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套</w:t>
            </w:r>
          </w:p>
        </w:tc>
      </w:tr>
    </w:tbl>
    <w:p w14:paraId="315A4F3B">
      <w:pPr>
        <w:keepNext w:val="0"/>
        <w:keepLines w:val="0"/>
        <w:pageBreakBefore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FF0000"/>
          <w:sz w:val="24"/>
          <w:szCs w:val="24"/>
          <w:highlight w:val="none"/>
        </w:rPr>
      </w:pPr>
    </w:p>
    <w:p w14:paraId="08719E47">
      <w:pPr>
        <w:keepNext w:val="0"/>
        <w:keepLines w:val="0"/>
        <w:pageBreakBefore w:val="0"/>
        <w:kinsoku/>
        <w:wordWrap/>
        <w:overflowPunct/>
        <w:topLinePunct w:val="0"/>
        <w:autoSpaceDE/>
        <w:autoSpaceDN/>
        <w:bidi w:val="0"/>
        <w:adjustRightInd/>
        <w:snapToGrid/>
        <w:spacing w:line="360" w:lineRule="auto"/>
        <w:jc w:val="both"/>
        <w:textAlignment w:val="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三、其他要求</w:t>
      </w:r>
    </w:p>
    <w:p w14:paraId="40F6126A">
      <w:pPr>
        <w:widowControl/>
        <w:spacing w:line="400" w:lineRule="exact"/>
        <w:ind w:firstLine="480"/>
        <w:jc w:val="left"/>
        <w:rPr>
          <w:rFonts w:hint="default" w:ascii="宋体" w:hAnsi="宋体" w:eastAsia="宋体" w:cs="宋体"/>
          <w:b/>
          <w:bCs/>
          <w:color w:val="000000"/>
          <w:kern w:val="0"/>
          <w:sz w:val="24"/>
          <w:lang w:val="en-US" w:eastAsia="zh-CN" w:bidi="ar"/>
        </w:rPr>
      </w:pPr>
      <w:r>
        <w:rPr>
          <w:rFonts w:hint="eastAsia" w:ascii="宋体" w:hAnsi="宋体" w:eastAsia="宋体" w:cs="宋体"/>
          <w:b/>
          <w:bCs/>
          <w:color w:val="000000"/>
          <w:kern w:val="0"/>
          <w:sz w:val="24"/>
          <w:lang w:val="en-US" w:eastAsia="zh-CN" w:bidi="ar"/>
        </w:rPr>
        <w:t>（一）售后要求</w:t>
      </w:r>
    </w:p>
    <w:p w14:paraId="10FBB729">
      <w:pPr>
        <w:widowControl/>
        <w:spacing w:line="400" w:lineRule="exact"/>
        <w:ind w:firstLine="480"/>
        <w:jc w:val="left"/>
        <w:rPr>
          <w:rFonts w:hint="eastAsia" w:ascii="宋体" w:hAnsi="宋体" w:eastAsia="宋体" w:cs="宋体"/>
          <w:bCs w:val="0"/>
          <w:color w:val="000000"/>
          <w:kern w:val="0"/>
          <w:sz w:val="24"/>
          <w:lang w:bidi="ar"/>
        </w:rPr>
      </w:pPr>
      <w:r>
        <w:rPr>
          <w:rFonts w:hint="eastAsia" w:ascii="宋体" w:hAnsi="宋体" w:eastAsia="宋体" w:cs="宋体"/>
          <w:bCs w:val="0"/>
          <w:color w:val="000000"/>
          <w:kern w:val="0"/>
          <w:sz w:val="24"/>
          <w:lang w:bidi="ar"/>
        </w:rPr>
        <w:t>1</w:t>
      </w:r>
      <w:r>
        <w:rPr>
          <w:rFonts w:hint="eastAsia" w:ascii="宋体" w:hAnsi="宋体" w:eastAsia="宋体" w:cs="宋体"/>
          <w:bCs w:val="0"/>
          <w:color w:val="000000"/>
          <w:kern w:val="0"/>
          <w:sz w:val="24"/>
          <w:lang w:eastAsia="zh-CN" w:bidi="ar"/>
        </w:rPr>
        <w:t>、</w:t>
      </w:r>
      <w:r>
        <w:rPr>
          <w:rFonts w:hint="eastAsia" w:ascii="宋体" w:hAnsi="宋体" w:eastAsia="宋体" w:cs="宋体"/>
          <w:bCs w:val="0"/>
          <w:color w:val="000000"/>
          <w:kern w:val="0"/>
          <w:sz w:val="24"/>
          <w:lang w:bidi="ar"/>
        </w:rPr>
        <w:t>在质保期内提供上门维修和技术支持的服务，保证长期优质服务。售后服务机构的名称、联系方法等应在投标文件中注明。</w:t>
      </w:r>
    </w:p>
    <w:p w14:paraId="26A29A47">
      <w:pPr>
        <w:widowControl/>
        <w:spacing w:line="400" w:lineRule="exact"/>
        <w:ind w:firstLine="480"/>
        <w:jc w:val="left"/>
        <w:rPr>
          <w:rFonts w:hint="eastAsia" w:ascii="宋体" w:hAnsi="宋体" w:eastAsia="宋体" w:cs="宋体"/>
          <w:bCs w:val="0"/>
          <w:kern w:val="0"/>
          <w:sz w:val="24"/>
          <w:lang w:bidi="ar"/>
        </w:rPr>
      </w:pPr>
      <w:r>
        <w:rPr>
          <w:rFonts w:hint="eastAsia" w:ascii="宋体" w:hAnsi="宋体" w:eastAsia="宋体" w:cs="宋体"/>
          <w:bCs w:val="0"/>
          <w:color w:val="000000"/>
          <w:kern w:val="0"/>
          <w:sz w:val="24"/>
          <w:lang w:val="en-US" w:eastAsia="zh-CN" w:bidi="ar"/>
        </w:rPr>
        <w:t>2、</w:t>
      </w:r>
      <w:r>
        <w:rPr>
          <w:rFonts w:hint="eastAsia" w:ascii="宋体" w:hAnsi="宋体" w:eastAsia="宋体" w:cs="宋体"/>
          <w:bCs w:val="0"/>
          <w:color w:val="000000"/>
          <w:kern w:val="0"/>
          <w:sz w:val="24"/>
          <w:lang w:bidi="ar"/>
        </w:rPr>
        <w:t>质保期内出现任何质量问题（人为破坏或自然灾害等不可抗力除外），由中标人负责</w:t>
      </w:r>
      <w:r>
        <w:rPr>
          <w:rFonts w:hint="eastAsia" w:ascii="宋体" w:hAnsi="宋体" w:eastAsia="宋体" w:cs="宋体"/>
          <w:bCs w:val="0"/>
          <w:kern w:val="0"/>
          <w:sz w:val="24"/>
          <w:lang w:bidi="ar"/>
        </w:rPr>
        <w:t>更换或维修。质保期满后，无论采购人是否另行选择维保供应商，中标人应及时优惠提供所需的备品备件。</w:t>
      </w:r>
    </w:p>
    <w:p w14:paraId="7B6B17FD">
      <w:pPr>
        <w:widowControl/>
        <w:spacing w:line="400" w:lineRule="exact"/>
        <w:ind w:firstLine="480"/>
        <w:jc w:val="left"/>
        <w:rPr>
          <w:rFonts w:hint="eastAsia" w:ascii="宋体" w:hAnsi="宋体" w:eastAsia="宋体" w:cs="宋体"/>
          <w:bCs w:val="0"/>
          <w:kern w:val="0"/>
          <w:sz w:val="24"/>
          <w:lang w:bidi="ar"/>
        </w:rPr>
      </w:pPr>
      <w:r>
        <w:rPr>
          <w:rFonts w:hint="eastAsia" w:ascii="宋体" w:hAnsi="宋体" w:eastAsia="宋体" w:cs="宋体"/>
          <w:bCs w:val="0"/>
          <w:kern w:val="0"/>
          <w:sz w:val="24"/>
          <w:lang w:bidi="ar"/>
        </w:rPr>
        <w:t>3</w:t>
      </w:r>
      <w:r>
        <w:rPr>
          <w:rFonts w:hint="eastAsia" w:ascii="宋体" w:hAnsi="宋体" w:eastAsia="宋体" w:cs="宋体"/>
          <w:bCs w:val="0"/>
          <w:kern w:val="0"/>
          <w:sz w:val="24"/>
          <w:lang w:eastAsia="zh-CN" w:bidi="ar"/>
        </w:rPr>
        <w:t>、</w:t>
      </w:r>
      <w:r>
        <w:rPr>
          <w:rFonts w:hint="eastAsia" w:ascii="宋体" w:hAnsi="宋体" w:eastAsia="宋体" w:cs="宋体"/>
          <w:bCs w:val="0"/>
          <w:kern w:val="0"/>
          <w:sz w:val="24"/>
          <w:lang w:bidi="ar"/>
        </w:rPr>
        <w:t>质保期内提供（技术参数中明确响应时间的按照技术参数执行）：</w:t>
      </w:r>
    </w:p>
    <w:p w14:paraId="3D55320D">
      <w:pPr>
        <w:widowControl/>
        <w:spacing w:line="400" w:lineRule="exact"/>
        <w:ind w:firstLine="480"/>
        <w:jc w:val="left"/>
        <w:rPr>
          <w:rFonts w:hint="eastAsia" w:ascii="宋体" w:hAnsi="宋体" w:eastAsia="宋体" w:cs="宋体"/>
          <w:kern w:val="0"/>
          <w:sz w:val="24"/>
          <w:lang w:bidi="ar"/>
        </w:rPr>
      </w:pPr>
      <w:r>
        <w:rPr>
          <w:rFonts w:hint="eastAsia" w:ascii="宋体" w:hAnsi="宋体" w:eastAsia="宋体" w:cs="宋体"/>
          <w:bCs w:val="0"/>
          <w:kern w:val="0"/>
          <w:sz w:val="24"/>
          <w:lang w:bidi="ar"/>
        </w:rPr>
        <w:t>（1）</w:t>
      </w:r>
      <w:r>
        <w:rPr>
          <w:rFonts w:hint="eastAsia" w:ascii="宋体" w:hAnsi="宋体" w:eastAsia="宋体" w:cs="宋体"/>
          <w:kern w:val="0"/>
          <w:sz w:val="24"/>
          <w:lang w:bidi="ar"/>
        </w:rPr>
        <w:t>7×24小时电话服务；</w:t>
      </w:r>
    </w:p>
    <w:p w14:paraId="38DF4A3D">
      <w:pPr>
        <w:widowControl/>
        <w:spacing w:line="400" w:lineRule="exact"/>
        <w:ind w:firstLine="480"/>
        <w:jc w:val="left"/>
        <w:rPr>
          <w:rFonts w:hint="eastAsia" w:ascii="宋体" w:hAnsi="宋体" w:eastAsia="宋体" w:cs="宋体"/>
          <w:kern w:val="0"/>
          <w:sz w:val="24"/>
          <w:lang w:bidi="ar"/>
        </w:rPr>
      </w:pPr>
      <w:r>
        <w:rPr>
          <w:rFonts w:hint="eastAsia" w:ascii="宋体" w:hAnsi="宋体" w:eastAsia="宋体" w:cs="宋体"/>
          <w:kern w:val="0"/>
          <w:sz w:val="24"/>
          <w:lang w:bidi="ar"/>
        </w:rPr>
        <w:t>（2）产品出现故障时，1小时内提出解决方案。</w:t>
      </w:r>
    </w:p>
    <w:p w14:paraId="1B37A5D7">
      <w:pPr>
        <w:widowControl/>
        <w:spacing w:line="400" w:lineRule="exact"/>
        <w:ind w:firstLine="480"/>
        <w:jc w:val="left"/>
        <w:rPr>
          <w:rFonts w:hint="eastAsia" w:ascii="宋体" w:hAnsi="宋体" w:eastAsia="宋体" w:cs="宋体"/>
          <w:kern w:val="0"/>
          <w:sz w:val="24"/>
          <w:lang w:bidi="ar"/>
        </w:rPr>
      </w:pPr>
      <w:r>
        <w:rPr>
          <w:rFonts w:hint="eastAsia" w:ascii="宋体" w:hAnsi="宋体" w:eastAsia="宋体" w:cs="宋体"/>
          <w:kern w:val="0"/>
          <w:sz w:val="24"/>
          <w:lang w:bidi="ar"/>
        </w:rPr>
        <w:t>（3）须至现场解决产品故障的，能在12小时内达到用户单位维修，解决问题，不能维修的，在质保期内更换新设备。</w:t>
      </w:r>
    </w:p>
    <w:p w14:paraId="457A0C1C">
      <w:pPr>
        <w:widowControl/>
        <w:spacing w:line="400" w:lineRule="exact"/>
        <w:ind w:firstLine="480"/>
        <w:jc w:val="left"/>
        <w:rPr>
          <w:rFonts w:hint="eastAsia" w:ascii="宋体" w:hAnsi="宋体" w:eastAsia="宋体" w:cs="宋体"/>
          <w:bCs w:val="0"/>
          <w:kern w:val="0"/>
          <w:sz w:val="24"/>
          <w:lang w:bidi="ar"/>
        </w:rPr>
      </w:pPr>
      <w:r>
        <w:rPr>
          <w:rFonts w:hint="eastAsia" w:ascii="宋体" w:hAnsi="宋体" w:eastAsia="宋体" w:cs="宋体"/>
          <w:bCs w:val="0"/>
          <w:kern w:val="0"/>
          <w:sz w:val="24"/>
          <w:lang w:eastAsia="zh-CN" w:bidi="ar"/>
        </w:rPr>
        <w:t>4、</w:t>
      </w:r>
      <w:r>
        <w:rPr>
          <w:rFonts w:hint="eastAsia" w:ascii="宋体" w:hAnsi="宋体" w:eastAsia="宋体" w:cs="宋体"/>
          <w:bCs w:val="0"/>
          <w:kern w:val="0"/>
          <w:sz w:val="24"/>
          <w:lang w:bidi="ar"/>
        </w:rPr>
        <w:t>提供终身维护服务，并随时提供设备相关的日常咨询与指导。保修期外，中标人依然提供技术支持及备件供应服务，对于采购人提出的设备问题，中标人将在2小时内响应，并承诺24小时内人员到位。</w:t>
      </w:r>
    </w:p>
    <w:p w14:paraId="7613AC0E">
      <w:pPr>
        <w:widowControl/>
        <w:spacing w:line="400" w:lineRule="exact"/>
        <w:ind w:firstLine="480"/>
        <w:jc w:val="left"/>
        <w:rPr>
          <w:rFonts w:hint="eastAsia" w:ascii="宋体" w:hAnsi="宋体" w:eastAsia="宋体" w:cs="宋体"/>
          <w:bCs w:val="0"/>
          <w:kern w:val="0"/>
          <w:sz w:val="24"/>
          <w:lang w:bidi="ar"/>
        </w:rPr>
      </w:pPr>
      <w:r>
        <w:rPr>
          <w:rFonts w:hint="eastAsia" w:ascii="宋体" w:hAnsi="宋体" w:eastAsia="宋体" w:cs="宋体"/>
          <w:bCs w:val="0"/>
          <w:kern w:val="0"/>
          <w:sz w:val="24"/>
          <w:lang w:eastAsia="zh-CN" w:bidi="ar"/>
        </w:rPr>
        <w:t>5、</w:t>
      </w:r>
      <w:r>
        <w:rPr>
          <w:rFonts w:hint="eastAsia" w:ascii="宋体" w:hAnsi="宋体" w:eastAsia="宋体" w:cs="宋体"/>
          <w:bCs w:val="0"/>
          <w:kern w:val="0"/>
          <w:sz w:val="24"/>
          <w:lang w:bidi="ar"/>
        </w:rPr>
        <w:t>投标时须提供针对本项目的详细售后服务方案（须注明质保期）。</w:t>
      </w:r>
    </w:p>
    <w:p w14:paraId="3343538B">
      <w:pPr>
        <w:widowControl/>
        <w:spacing w:line="400" w:lineRule="exact"/>
        <w:ind w:firstLine="480"/>
        <w:jc w:val="left"/>
        <w:rPr>
          <w:rFonts w:hint="default" w:ascii="宋体" w:hAnsi="宋体" w:eastAsia="宋体" w:cs="宋体"/>
          <w:bCs w:val="0"/>
          <w:kern w:val="0"/>
          <w:sz w:val="24"/>
          <w:lang w:val="en-US" w:eastAsia="zh-CN" w:bidi="ar"/>
        </w:rPr>
      </w:pPr>
      <w:r>
        <w:rPr>
          <w:rFonts w:hint="eastAsia" w:ascii="宋体" w:hAnsi="宋体" w:eastAsia="宋体" w:cs="宋体"/>
          <w:bCs w:val="0"/>
          <w:kern w:val="0"/>
          <w:sz w:val="24"/>
          <w:lang w:val="en-US" w:eastAsia="zh-CN" w:bidi="ar"/>
        </w:rPr>
        <w:t>6、质保期内产生的费用应包含在投标报价中。</w:t>
      </w:r>
    </w:p>
    <w:p w14:paraId="349ACEF3">
      <w:pPr>
        <w:keepNext w:val="0"/>
        <w:keepLines w:val="0"/>
        <w:pageBreakBefore w:val="0"/>
        <w:widowControl/>
        <w:kinsoku/>
        <w:wordWrap/>
        <w:overflowPunct/>
        <w:topLinePunct w:val="0"/>
        <w:autoSpaceDE/>
        <w:autoSpaceDN/>
        <w:bidi w:val="0"/>
        <w:adjustRightInd/>
        <w:snapToGrid/>
        <w:spacing w:line="400" w:lineRule="exact"/>
        <w:ind w:firstLine="480"/>
        <w:jc w:val="left"/>
        <w:textAlignment w:val="auto"/>
        <w:rPr>
          <w:rFonts w:hint="eastAsia" w:ascii="宋体" w:hAnsi="宋体" w:eastAsia="宋体" w:cs="宋体"/>
          <w:b/>
          <w:bCs/>
          <w:color w:val="auto"/>
          <w:kern w:val="0"/>
          <w:sz w:val="24"/>
          <w:szCs w:val="24"/>
          <w:highlight w:val="none"/>
          <w:lang w:val="en-US" w:eastAsia="zh-CN" w:bidi="ar"/>
        </w:rPr>
      </w:pPr>
      <w:r>
        <w:rPr>
          <w:rFonts w:hint="eastAsia" w:ascii="宋体" w:hAnsi="宋体" w:eastAsia="宋体" w:cs="宋体"/>
          <w:b/>
          <w:bCs/>
          <w:color w:val="auto"/>
          <w:kern w:val="0"/>
          <w:sz w:val="24"/>
          <w:szCs w:val="24"/>
          <w:lang w:eastAsia="zh-CN" w:bidi="ar"/>
        </w:rPr>
        <w:t>（</w:t>
      </w:r>
      <w:r>
        <w:rPr>
          <w:rFonts w:hint="eastAsia" w:ascii="宋体" w:hAnsi="宋体" w:eastAsia="宋体" w:cs="宋体"/>
          <w:b/>
          <w:bCs/>
          <w:color w:val="auto"/>
          <w:kern w:val="0"/>
          <w:sz w:val="24"/>
          <w:szCs w:val="24"/>
          <w:lang w:val="en-US" w:eastAsia="zh-CN" w:bidi="ar"/>
        </w:rPr>
        <w:t>二</w:t>
      </w:r>
      <w:r>
        <w:rPr>
          <w:rFonts w:hint="eastAsia" w:ascii="宋体" w:hAnsi="宋体" w:eastAsia="宋体" w:cs="宋体"/>
          <w:b/>
          <w:bCs/>
          <w:color w:val="auto"/>
          <w:kern w:val="0"/>
          <w:sz w:val="24"/>
          <w:szCs w:val="24"/>
          <w:lang w:eastAsia="zh-CN" w:bidi="ar"/>
        </w:rPr>
        <w:t>）</w:t>
      </w:r>
      <w:r>
        <w:rPr>
          <w:rFonts w:hint="eastAsia" w:ascii="宋体" w:hAnsi="宋体" w:eastAsia="宋体" w:cs="宋体"/>
          <w:b/>
          <w:bCs/>
          <w:color w:val="auto"/>
          <w:kern w:val="0"/>
          <w:sz w:val="24"/>
          <w:szCs w:val="24"/>
          <w:highlight w:val="none"/>
          <w:lang w:val="en-US" w:eastAsia="zh-CN" w:bidi="ar"/>
        </w:rPr>
        <w:t>实施服务要求</w:t>
      </w:r>
    </w:p>
    <w:p w14:paraId="5E8F0245">
      <w:pPr>
        <w:spacing w:line="400" w:lineRule="exact"/>
        <w:ind w:firstLine="480"/>
        <w:rPr>
          <w:rFonts w:hint="eastAsia" w:ascii="宋体" w:hAnsi="宋体" w:eastAsia="宋体" w:cs="宋体"/>
          <w:kern w:val="0"/>
          <w:sz w:val="24"/>
          <w:lang w:bidi="ar"/>
        </w:rPr>
      </w:pPr>
      <w:r>
        <w:rPr>
          <w:rFonts w:hint="eastAsia" w:ascii="宋体" w:hAnsi="宋体" w:eastAsia="宋体" w:cs="宋体"/>
          <w:kern w:val="0"/>
          <w:sz w:val="24"/>
          <w:lang w:val="en-US" w:eastAsia="zh-CN" w:bidi="ar"/>
        </w:rPr>
        <w:t>1</w:t>
      </w:r>
      <w:r>
        <w:rPr>
          <w:rFonts w:hint="eastAsia" w:ascii="宋体" w:hAnsi="宋体" w:eastAsia="宋体" w:cs="宋体"/>
          <w:kern w:val="0"/>
          <w:sz w:val="24"/>
          <w:lang w:bidi="ar"/>
        </w:rPr>
        <w:t>、实施组织：合同签订后</w:t>
      </w:r>
      <w:r>
        <w:rPr>
          <w:rFonts w:hint="eastAsia" w:ascii="宋体" w:hAnsi="宋体" w:eastAsia="宋体" w:cs="宋体"/>
          <w:kern w:val="0"/>
          <w:sz w:val="24"/>
          <w:lang w:val="en-US" w:eastAsia="zh-CN" w:bidi="ar"/>
        </w:rPr>
        <w:t>10</w:t>
      </w:r>
      <w:r>
        <w:rPr>
          <w:rFonts w:hint="eastAsia" w:ascii="宋体" w:hAnsi="宋体" w:eastAsia="宋体" w:cs="宋体"/>
          <w:kern w:val="0"/>
          <w:sz w:val="24"/>
          <w:lang w:bidi="ar"/>
        </w:rPr>
        <w:t>个</w:t>
      </w:r>
      <w:r>
        <w:rPr>
          <w:rFonts w:hint="eastAsia" w:ascii="宋体" w:hAnsi="宋体" w:eastAsia="宋体" w:cs="宋体"/>
          <w:kern w:val="0"/>
          <w:sz w:val="24"/>
          <w:lang w:val="en-US" w:eastAsia="zh-CN" w:bidi="ar"/>
        </w:rPr>
        <w:t>日历</w:t>
      </w:r>
      <w:r>
        <w:rPr>
          <w:rFonts w:hint="eastAsia" w:ascii="宋体" w:hAnsi="宋体" w:eastAsia="宋体" w:cs="宋体"/>
          <w:kern w:val="0"/>
          <w:sz w:val="24"/>
          <w:lang w:bidi="ar"/>
        </w:rPr>
        <w:t>日内组建项目组并提交实施方案，按期完成上线，每周报送进度。</w:t>
      </w:r>
    </w:p>
    <w:p w14:paraId="3AB482E8">
      <w:pPr>
        <w:spacing w:line="400" w:lineRule="exact"/>
        <w:ind w:firstLine="480"/>
        <w:rPr>
          <w:rFonts w:hint="eastAsia" w:ascii="宋体" w:hAnsi="宋体" w:eastAsia="宋体" w:cs="宋体"/>
          <w:kern w:val="0"/>
          <w:sz w:val="24"/>
          <w:lang w:bidi="ar"/>
        </w:rPr>
      </w:pPr>
      <w:r>
        <w:rPr>
          <w:rFonts w:hint="eastAsia" w:ascii="宋体" w:hAnsi="宋体" w:eastAsia="宋体" w:cs="宋体"/>
          <w:kern w:val="0"/>
          <w:sz w:val="24"/>
          <w:lang w:eastAsia="zh-CN" w:bidi="ar"/>
        </w:rPr>
        <w:t>2</w:t>
      </w:r>
      <w:r>
        <w:rPr>
          <w:rFonts w:hint="eastAsia" w:ascii="宋体" w:hAnsi="宋体" w:eastAsia="宋体" w:cs="宋体"/>
          <w:kern w:val="0"/>
          <w:sz w:val="24"/>
          <w:lang w:bidi="ar"/>
        </w:rPr>
        <w:t>、部署迁移：负责系统部署、配置及数据迁移，数据完整率与准确率均不低于99.9%。</w:t>
      </w:r>
    </w:p>
    <w:p w14:paraId="144E8B8C">
      <w:pPr>
        <w:spacing w:line="400" w:lineRule="exact"/>
        <w:ind w:firstLine="480"/>
        <w:rPr>
          <w:rFonts w:hint="eastAsia" w:ascii="宋体" w:hAnsi="宋体" w:eastAsia="宋体" w:cs="宋体"/>
          <w:kern w:val="0"/>
          <w:sz w:val="24"/>
          <w:lang w:bidi="ar"/>
        </w:rPr>
      </w:pPr>
      <w:r>
        <w:rPr>
          <w:rFonts w:hint="eastAsia" w:ascii="宋体" w:hAnsi="宋体" w:eastAsia="宋体" w:cs="宋体"/>
          <w:kern w:val="0"/>
          <w:sz w:val="24"/>
          <w:lang w:eastAsia="zh-CN" w:bidi="ar"/>
        </w:rPr>
        <w:t>3</w:t>
      </w:r>
      <w:r>
        <w:rPr>
          <w:rFonts w:hint="eastAsia" w:ascii="宋体" w:hAnsi="宋体" w:eastAsia="宋体" w:cs="宋体"/>
          <w:kern w:val="0"/>
          <w:sz w:val="24"/>
          <w:lang w:bidi="ar"/>
        </w:rPr>
        <w:t>、培训服务：提供不少于24学时现场培训，交付操作手册，测评合格率达90%以上。</w:t>
      </w:r>
    </w:p>
    <w:p w14:paraId="6DFC32B7">
      <w:pPr>
        <w:keepNext w:val="0"/>
        <w:keepLines w:val="0"/>
        <w:pageBreakBefore w:val="0"/>
        <w:kinsoku/>
        <w:wordWrap/>
        <w:overflowPunct/>
        <w:topLinePunct w:val="0"/>
        <w:autoSpaceDE/>
        <w:autoSpaceDN/>
        <w:bidi w:val="0"/>
        <w:adjustRightInd/>
        <w:snapToGrid/>
        <w:spacing w:line="400" w:lineRule="exact"/>
        <w:ind w:firstLine="480"/>
        <w:jc w:val="left"/>
        <w:textAlignment w:val="auto"/>
        <w:rPr>
          <w:rFonts w:hint="eastAsia" w:ascii="宋体" w:hAnsi="宋体" w:eastAsia="宋体" w:cs="宋体"/>
          <w:b/>
          <w:bCs/>
          <w:kern w:val="0"/>
          <w:sz w:val="24"/>
          <w:szCs w:val="24"/>
          <w:lang w:eastAsia="zh-CN" w:bidi="ar"/>
        </w:rPr>
      </w:pPr>
      <w:r>
        <w:rPr>
          <w:rFonts w:hint="eastAsia" w:ascii="宋体" w:hAnsi="宋体" w:eastAsia="宋体" w:cs="宋体"/>
          <w:kern w:val="0"/>
          <w:sz w:val="24"/>
          <w:lang w:eastAsia="zh-CN" w:bidi="ar"/>
        </w:rPr>
        <w:t>4</w:t>
      </w:r>
      <w:r>
        <w:rPr>
          <w:rFonts w:hint="eastAsia" w:ascii="宋体" w:hAnsi="宋体" w:eastAsia="宋体" w:cs="宋体"/>
          <w:kern w:val="0"/>
          <w:sz w:val="24"/>
          <w:lang w:bidi="ar"/>
        </w:rPr>
        <w:t>、验收质保：试运行</w:t>
      </w:r>
      <w:r>
        <w:rPr>
          <w:rFonts w:hint="eastAsia" w:ascii="宋体" w:hAnsi="宋体" w:eastAsia="宋体" w:cs="宋体"/>
          <w:kern w:val="0"/>
          <w:sz w:val="24"/>
          <w:lang w:val="en-US" w:eastAsia="zh-CN" w:bidi="ar"/>
        </w:rPr>
        <w:t>7个日历日</w:t>
      </w:r>
      <w:r>
        <w:rPr>
          <w:rFonts w:hint="eastAsia" w:ascii="宋体" w:hAnsi="宋体" w:eastAsia="宋体" w:cs="宋体"/>
          <w:kern w:val="0"/>
          <w:sz w:val="24"/>
          <w:lang w:bidi="ar"/>
        </w:rPr>
        <w:t>后组织验收，质保</w:t>
      </w:r>
      <w:r>
        <w:rPr>
          <w:rFonts w:hint="eastAsia" w:ascii="宋体" w:hAnsi="宋体" w:eastAsia="宋体" w:cs="宋体"/>
          <w:kern w:val="0"/>
          <w:sz w:val="24"/>
          <w:lang w:eastAsia="zh-CN" w:bidi="ar"/>
        </w:rPr>
        <w:t>3</w:t>
      </w:r>
      <w:r>
        <w:rPr>
          <w:rFonts w:hint="eastAsia" w:ascii="宋体" w:hAnsi="宋体" w:eastAsia="宋体" w:cs="宋体"/>
          <w:kern w:val="0"/>
          <w:sz w:val="24"/>
          <w:lang w:bidi="ar"/>
        </w:rPr>
        <w:t>年，7×24受理故障，</w:t>
      </w:r>
      <w:r>
        <w:rPr>
          <w:rFonts w:hint="eastAsia" w:ascii="宋体" w:hAnsi="宋体" w:eastAsia="宋体" w:cs="宋体"/>
          <w:kern w:val="0"/>
          <w:sz w:val="24"/>
          <w:lang w:eastAsia="zh-CN" w:bidi="ar"/>
        </w:rPr>
        <w:t>1</w:t>
      </w:r>
      <w:r>
        <w:rPr>
          <w:rFonts w:hint="eastAsia" w:ascii="宋体" w:hAnsi="宋体" w:eastAsia="宋体" w:cs="宋体"/>
          <w:kern w:val="0"/>
          <w:sz w:val="24"/>
          <w:lang w:bidi="ar"/>
        </w:rPr>
        <w:t>小时内响应。</w:t>
      </w:r>
    </w:p>
    <w:p w14:paraId="2D30F6CE">
      <w:pPr>
        <w:keepNext w:val="0"/>
        <w:keepLines w:val="0"/>
        <w:pageBreakBefore w:val="0"/>
        <w:widowControl/>
        <w:kinsoku/>
        <w:wordWrap/>
        <w:overflowPunct/>
        <w:topLinePunct w:val="0"/>
        <w:autoSpaceDE/>
        <w:autoSpaceDN/>
        <w:bidi w:val="0"/>
        <w:adjustRightInd/>
        <w:snapToGrid/>
        <w:spacing w:line="400" w:lineRule="exact"/>
        <w:ind w:firstLine="480"/>
        <w:jc w:val="left"/>
        <w:textAlignment w:val="auto"/>
        <w:rPr>
          <w:rFonts w:hint="eastAsia" w:ascii="宋体" w:hAnsi="宋体" w:eastAsia="宋体" w:cs="宋体"/>
          <w:b/>
          <w:bCs/>
          <w:kern w:val="0"/>
          <w:sz w:val="24"/>
          <w:szCs w:val="24"/>
          <w:lang w:val="en-US" w:eastAsia="zh-CN" w:bidi="ar"/>
        </w:rPr>
      </w:pPr>
      <w:r>
        <w:rPr>
          <w:rFonts w:hint="eastAsia" w:ascii="宋体" w:hAnsi="宋体" w:eastAsia="宋体" w:cs="宋体"/>
          <w:b/>
          <w:bCs/>
          <w:kern w:val="0"/>
          <w:sz w:val="24"/>
          <w:szCs w:val="24"/>
          <w:lang w:eastAsia="zh-CN" w:bidi="ar"/>
        </w:rPr>
        <w:t>（</w:t>
      </w:r>
      <w:r>
        <w:rPr>
          <w:rFonts w:hint="eastAsia" w:ascii="宋体" w:hAnsi="宋体" w:eastAsia="宋体" w:cs="宋体"/>
          <w:b/>
          <w:bCs/>
          <w:kern w:val="0"/>
          <w:sz w:val="24"/>
          <w:szCs w:val="24"/>
          <w:lang w:val="en-US" w:eastAsia="zh-CN" w:bidi="ar"/>
        </w:rPr>
        <w:t>三</w:t>
      </w:r>
      <w:r>
        <w:rPr>
          <w:rFonts w:hint="eastAsia" w:ascii="宋体" w:hAnsi="宋体" w:eastAsia="宋体" w:cs="宋体"/>
          <w:b/>
          <w:bCs/>
          <w:kern w:val="0"/>
          <w:sz w:val="24"/>
          <w:szCs w:val="24"/>
          <w:lang w:eastAsia="zh-CN" w:bidi="ar"/>
        </w:rPr>
        <w:t>）</w:t>
      </w:r>
      <w:r>
        <w:rPr>
          <w:rFonts w:hint="eastAsia" w:ascii="宋体" w:hAnsi="宋体" w:eastAsia="宋体" w:cs="宋体"/>
          <w:b/>
          <w:bCs/>
          <w:kern w:val="0"/>
          <w:sz w:val="24"/>
          <w:szCs w:val="24"/>
          <w:lang w:val="en-US" w:eastAsia="zh-CN" w:bidi="ar"/>
        </w:rPr>
        <w:t>验收要求</w:t>
      </w:r>
    </w:p>
    <w:p w14:paraId="08EDADC0">
      <w:pPr>
        <w:widowControl/>
        <w:spacing w:line="400" w:lineRule="exact"/>
        <w:ind w:firstLine="480"/>
        <w:jc w:val="left"/>
        <w:rPr>
          <w:rFonts w:hint="eastAsia" w:ascii="宋体" w:hAnsi="宋体" w:eastAsia="宋体" w:cs="宋体"/>
          <w:kern w:val="0"/>
          <w:sz w:val="24"/>
          <w:lang w:bidi="ar"/>
        </w:rPr>
      </w:pPr>
      <w:bookmarkStart w:id="1" w:name="_Toc12272"/>
      <w:r>
        <w:rPr>
          <w:rFonts w:hint="eastAsia" w:ascii="宋体" w:hAnsi="宋体" w:eastAsia="宋体" w:cs="宋体"/>
          <w:kern w:val="0"/>
          <w:sz w:val="24"/>
          <w:lang w:bidi="ar"/>
        </w:rPr>
        <w:t>验收标准：应对产品的质量、安全、技术规格、物理特性等要求以及产品的外包装、配件、产品说明书等进行验收。具体要求如下：</w:t>
      </w:r>
      <w:bookmarkEnd w:id="1"/>
    </w:p>
    <w:p w14:paraId="4197E18A">
      <w:pPr>
        <w:widowControl/>
        <w:spacing w:line="400" w:lineRule="exact"/>
        <w:ind w:firstLine="480"/>
        <w:jc w:val="left"/>
        <w:rPr>
          <w:rFonts w:hint="eastAsia" w:ascii="宋体" w:hAnsi="宋体" w:eastAsia="宋体" w:cs="宋体"/>
          <w:kern w:val="0"/>
          <w:sz w:val="24"/>
          <w:lang w:bidi="ar"/>
        </w:rPr>
      </w:pPr>
      <w:bookmarkStart w:id="2" w:name="_Toc3551"/>
      <w:r>
        <w:rPr>
          <w:rFonts w:hint="eastAsia" w:ascii="宋体" w:hAnsi="宋体" w:eastAsia="宋体" w:cs="宋体"/>
          <w:kern w:val="0"/>
          <w:sz w:val="24"/>
          <w:lang w:eastAsia="zh-CN" w:bidi="ar"/>
        </w:rPr>
        <w:t>1、</w:t>
      </w:r>
      <w:r>
        <w:rPr>
          <w:rFonts w:hint="eastAsia" w:ascii="宋体" w:hAnsi="宋体" w:eastAsia="宋体" w:cs="宋体"/>
          <w:kern w:val="0"/>
          <w:sz w:val="24"/>
          <w:lang w:bidi="ar"/>
        </w:rPr>
        <w:t>到货验收：完成采购清单中的要求所有设备供货，经乙方申请，甲方组织到货验收（验收内容包括：设备参数、数量、产品说明书等），若出现虚假应标的情况，甲方有权向主管部门进行投诉。</w:t>
      </w:r>
      <w:bookmarkEnd w:id="2"/>
    </w:p>
    <w:p w14:paraId="05D92FB0">
      <w:pPr>
        <w:widowControl/>
        <w:spacing w:line="400" w:lineRule="exact"/>
        <w:ind w:firstLine="480"/>
        <w:jc w:val="left"/>
        <w:rPr>
          <w:rFonts w:hint="eastAsia" w:ascii="宋体" w:hAnsi="宋体" w:eastAsia="宋体" w:cs="宋体"/>
          <w:kern w:val="0"/>
          <w:sz w:val="24"/>
          <w:lang w:bidi="ar"/>
        </w:rPr>
      </w:pPr>
      <w:bookmarkStart w:id="3" w:name="_Toc16186"/>
      <w:r>
        <w:rPr>
          <w:rFonts w:hint="eastAsia" w:ascii="宋体" w:hAnsi="宋体" w:eastAsia="宋体" w:cs="宋体"/>
          <w:kern w:val="0"/>
          <w:sz w:val="24"/>
          <w:lang w:eastAsia="zh-CN" w:bidi="ar"/>
        </w:rPr>
        <w:t>2、</w:t>
      </w:r>
      <w:r>
        <w:rPr>
          <w:rFonts w:hint="eastAsia" w:ascii="宋体" w:hAnsi="宋体" w:eastAsia="宋体" w:cs="宋体"/>
          <w:kern w:val="0"/>
          <w:sz w:val="24"/>
          <w:lang w:bidi="ar"/>
        </w:rPr>
        <w:t>项目初验：乙方对合同货物安装、调试和培训完成后，认为达到使用要求的，应向甲方提出书面验收申请，经乙方申请，甲方组织项目初验（初验主要内容包括：合同内容执行情况、系统调试、测试、培训完成情况等），软件技术参数达到标书技术参数规定标准，初验通过后进入系统试运行。</w:t>
      </w:r>
      <w:bookmarkEnd w:id="3"/>
    </w:p>
    <w:p w14:paraId="2E564024">
      <w:pPr>
        <w:widowControl/>
        <w:spacing w:line="400" w:lineRule="exact"/>
        <w:ind w:firstLine="480"/>
        <w:jc w:val="left"/>
        <w:rPr>
          <w:rFonts w:hint="eastAsia" w:ascii="宋体" w:hAnsi="宋体" w:eastAsia="宋体" w:cs="宋体"/>
          <w:kern w:val="0"/>
          <w:sz w:val="24"/>
          <w:lang w:bidi="ar"/>
        </w:rPr>
      </w:pPr>
      <w:bookmarkStart w:id="4" w:name="_Toc10337"/>
      <w:r>
        <w:rPr>
          <w:rFonts w:hint="eastAsia" w:ascii="宋体" w:hAnsi="宋体" w:eastAsia="宋体" w:cs="宋体"/>
          <w:kern w:val="0"/>
          <w:sz w:val="24"/>
          <w:lang w:eastAsia="zh-CN" w:bidi="ar"/>
        </w:rPr>
        <w:t>3、</w:t>
      </w:r>
      <w:r>
        <w:rPr>
          <w:rFonts w:hint="eastAsia" w:ascii="宋体" w:hAnsi="宋体" w:eastAsia="宋体" w:cs="宋体"/>
          <w:kern w:val="0"/>
          <w:sz w:val="24"/>
          <w:lang w:bidi="ar"/>
        </w:rPr>
        <w:t>项目终验：系统试运行结束后，经乙方向甲方相关部门申请及审批，验收文件满足学校规范管理要求，甲方组织项目终验。</w:t>
      </w:r>
      <w:bookmarkEnd w:id="4"/>
    </w:p>
    <w:p w14:paraId="4EEC0EB6">
      <w:pPr>
        <w:keepNext w:val="0"/>
        <w:keepLines w:val="0"/>
        <w:pageBreakBefore w:val="0"/>
        <w:widowControl/>
        <w:kinsoku/>
        <w:wordWrap/>
        <w:overflowPunct/>
        <w:topLinePunct w:val="0"/>
        <w:autoSpaceDE/>
        <w:autoSpaceDN/>
        <w:bidi w:val="0"/>
        <w:adjustRightInd/>
        <w:snapToGrid/>
        <w:spacing w:line="400" w:lineRule="exact"/>
        <w:ind w:firstLine="480"/>
        <w:jc w:val="left"/>
        <w:textAlignment w:val="auto"/>
        <w:rPr>
          <w:rFonts w:hint="eastAsia" w:ascii="宋体" w:hAnsi="宋体" w:eastAsia="宋体" w:cs="宋体"/>
          <w:b w:val="0"/>
          <w:bCs w:val="0"/>
          <w:kern w:val="0"/>
          <w:sz w:val="24"/>
          <w:szCs w:val="24"/>
          <w:lang w:val="en-US" w:eastAsia="zh-CN" w:bidi="ar"/>
        </w:rPr>
      </w:pPr>
      <w:bookmarkStart w:id="5" w:name="_Toc6452"/>
      <w:r>
        <w:rPr>
          <w:rFonts w:hint="eastAsia" w:ascii="宋体" w:hAnsi="宋体" w:eastAsia="宋体" w:cs="宋体"/>
          <w:kern w:val="0"/>
          <w:sz w:val="24"/>
          <w:lang w:eastAsia="zh-CN" w:bidi="ar"/>
        </w:rPr>
        <w:t>4、</w:t>
      </w:r>
      <w:r>
        <w:rPr>
          <w:rFonts w:hint="eastAsia" w:ascii="宋体" w:hAnsi="宋体" w:eastAsia="宋体" w:cs="宋体"/>
          <w:kern w:val="0"/>
          <w:sz w:val="24"/>
          <w:lang w:bidi="ar"/>
        </w:rPr>
        <w:t>验收时如发现所交付的货物有次品、损坏或其它不符合本合同规定的，甲方有权拒绝验收。其由此产生的有关费用及损失由乙方承担。</w:t>
      </w:r>
      <w:bookmarkEnd w:id="5"/>
    </w:p>
    <w:p w14:paraId="7B8F54BA"/>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24" w:lineRule="auto"/>
      </w:pPr>
      <w:r>
        <w:separator/>
      </w:r>
    </w:p>
  </w:footnote>
  <w:footnote w:type="continuationSeparator" w:id="1">
    <w:p>
      <w:pPr>
        <w:spacing w:line="324"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1F73980"/>
    <w:rsid w:val="11F7398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24" w:lineRule="auto"/>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 w:type="table" w:styleId="3">
    <w:name w:val="Table Grid"/>
    <w:basedOn w:val="2"/>
    <w:qFormat/>
    <w:uiPriority w:val="59"/>
    <w:rPr>
      <w:rFonts w:ascii="Calibri" w:hAnsi="Calibri" w:eastAsia="宋体" w:cs="Times New Roman"/>
      <w:kern w:val="2"/>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12</Pages>
  <Words>0</Words>
  <Characters>0</Characters>
  <Lines>0</Lines>
  <Paragraphs>0</Paragraphs>
  <TotalTime>0</TotalTime>
  <ScaleCrop>false</ScaleCrop>
  <LinksUpToDate>false</LinksUpToDate>
  <CharactersWithSpaces>0</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2026-11-04T10:32:00Z</dcterms:created>
  <dc:creator>徐闫靖双</dc:creator>
  <cp:lastModifiedBy>徐闫靖双</cp:lastModifiedBy>
  <dcterms:modified xsi:type="dcterms:W3CDTF">2026-11-04T10:32:56Z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098A0DD9F3D647B697CB354C5F72AD97_11</vt:lpwstr>
  </property>
  <property fmtid="{D5CDD505-2E9C-101B-9397-08002B2CF9AE}" pid="4" name="KSOTemplateDocerSaveRecord">
    <vt:lpwstr>eyJoZGlkIjoiYzA1MTFjMGE5NjMwY2U1ODU1MGFhN2UxMjk1NDdlZjEiLCJ1c2VySWQiOiI0NTE5NDQwNTQifQ==</vt:lpwstr>
  </property>
</Properties>
</file>