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版本号：TZZB-HZ-2026173C20260720001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数字化机电仿真实训室建设项目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TZZB-HZ-2026173C</w:t>
      </w:r>
      <w:r>
        <w:br/>
      </w:r>
      <w:r>
        <w:br/>
      </w:r>
      <w:r>
        <w:br/>
      </w:r>
    </w:p>
    <w:p>
      <w:pPr>
        <w:pStyle w:val="null3"/>
        <w:jc w:val="center"/>
        <w:outlineLvl w:val="2"/>
      </w:pPr>
      <w:r>
        <w:rPr>
          <w:rFonts w:ascii="仿宋_GB2312" w:hAnsi="仿宋_GB2312" w:cs="仿宋_GB2312" w:eastAsia="仿宋_GB2312"/>
          <w:sz w:val="28"/>
          <w:b/>
        </w:rPr>
        <w:t>汉中职业技术学院</w:t>
      </w:r>
    </w:p>
    <w:p>
      <w:pPr>
        <w:pStyle w:val="null3"/>
        <w:jc w:val="center"/>
        <w:outlineLvl w:val="2"/>
      </w:pPr>
      <w:r>
        <w:rPr>
          <w:rFonts w:ascii="仿宋_GB2312" w:hAnsi="仿宋_GB2312" w:cs="仿宋_GB2312" w:eastAsia="仿宋_GB2312"/>
          <w:sz w:val="28"/>
          <w:b/>
        </w:rPr>
        <w:t>同正项目管理有限公司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同正项目管理有限公司</w:t>
      </w:r>
      <w:r>
        <w:rPr>
          <w:rFonts w:ascii="仿宋_GB2312" w:hAnsi="仿宋_GB2312" w:cs="仿宋_GB2312" w:eastAsia="仿宋_GB2312"/>
        </w:rPr>
        <w:t>（以下简称“代理机构”）受</w:t>
      </w:r>
      <w:r>
        <w:rPr>
          <w:rFonts w:ascii="仿宋_GB2312" w:hAnsi="仿宋_GB2312" w:cs="仿宋_GB2312" w:eastAsia="仿宋_GB2312"/>
        </w:rPr>
        <w:t>汉中职业技术学院</w:t>
      </w:r>
      <w:r>
        <w:rPr>
          <w:rFonts w:ascii="仿宋_GB2312" w:hAnsi="仿宋_GB2312" w:cs="仿宋_GB2312" w:eastAsia="仿宋_GB2312"/>
        </w:rPr>
        <w:t>委托，拟对</w:t>
      </w:r>
      <w:r>
        <w:rPr>
          <w:rFonts w:ascii="仿宋_GB2312" w:hAnsi="仿宋_GB2312" w:cs="仿宋_GB2312" w:eastAsia="仿宋_GB2312"/>
        </w:rPr>
        <w:t>数字化机电仿真实训室建设项目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TZZB-HZ-2026173C</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数字化机电仿真实训室建设项目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数字化机电仿真实训室建设</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1、有效的主体资格证明：投标人为具有独立承担民事责任能力的企业法人、负责人或其他组织或自然人，并出具有效的营业执照或证明文件或自然人的身份证明。</w:t>
      </w:r>
    </w:p>
    <w:p>
      <w:pPr>
        <w:pStyle w:val="null3"/>
      </w:pPr>
      <w:r>
        <w:rPr>
          <w:rFonts w:ascii="仿宋_GB2312" w:hAnsi="仿宋_GB2312" w:cs="仿宋_GB2312" w:eastAsia="仿宋_GB2312"/>
        </w:rPr>
        <w:t>2、投标人应具有良好的商业信誉和健全的财务会计制度、具有履行合同所必需的设备和专业技术能力、具有依法缴纳税收和社会保障金的良好记录、参加本项目采购活动前三年内无重大违法活动记录，在信用中国网站未列入“失信被执行人”、“重大税收违法案件当事人名单”、在中国政府采购网未列入“政府采购严重违法失信行为记录名单”：投标人提供《汉中市政府采购投标人资格承诺函》。</w:t>
      </w:r>
    </w:p>
    <w:p>
      <w:pPr>
        <w:pStyle w:val="null3"/>
      </w:pPr>
      <w:r>
        <w:rPr>
          <w:rFonts w:ascii="仿宋_GB2312" w:hAnsi="仿宋_GB2312" w:cs="仿宋_GB2312" w:eastAsia="仿宋_GB2312"/>
        </w:rPr>
        <w:t>3、投标人应授权合法的人员参加本项目投标活动全过程：法定代表人直接参加投标活动的，应出具法定代表人证明书及法定代表人合法有效的身份证扫描件，且应与营业执照上信息一致；法定代表人授权代表参加投标活动的，应出具法定代表人证明书、法定代表人授权书及授权代表合法有效的身份证扫描件。</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汉中职业技术学院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汉中市汉台区宗营镇</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0916-2211759</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同正项目管理有限公司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汉中市汉台区西一环路蓝天御苑小区商铺二层门面房</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王丽</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0916-8897702</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汉中市财政局政府采购管理科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祝老师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0916-2514015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采购包1：663,000.00元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仿真操作终端、CAE工作站</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仿真操作终端、CAE工作站</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说明：成交后签订合同前。</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考原国家计委《招标代理服务收费管理暂行办法》（计价格[2002]1980号）、国家发展和改革委员会《国家发展改革委办公厅关于招标代理服务收费有关问题的通知》（发改办价格[2003]857号）和《国家发展改革委关于降低部分建设项目收费标准规范收费行为等有关问题的通知》（发改价格[2011]534号）文件的相关规定收取，代理服务费具体金额后续见本项目采购结果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汉中职业技术学院</w:t>
      </w:r>
      <w:r>
        <w:rPr>
          <w:rFonts w:ascii="仿宋_GB2312" w:hAnsi="仿宋_GB2312" w:cs="仿宋_GB2312" w:eastAsia="仿宋_GB2312"/>
        </w:rPr>
        <w:t>和</w:t>
      </w:r>
      <w:r>
        <w:rPr>
          <w:rFonts w:ascii="仿宋_GB2312" w:hAnsi="仿宋_GB2312" w:cs="仿宋_GB2312" w:eastAsia="仿宋_GB2312"/>
        </w:rPr>
        <w:t>同正项目管理有限公司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汉中职业技术学院</w:t>
      </w:r>
      <w:r>
        <w:rPr>
          <w:rFonts w:ascii="仿宋_GB2312" w:hAnsi="仿宋_GB2312" w:cs="仿宋_GB2312" w:eastAsia="仿宋_GB2312"/>
        </w:rPr>
        <w:t>负责解释。除上述招标文件内容，其他内容由</w:t>
      </w:r>
      <w:r>
        <w:rPr>
          <w:rFonts w:ascii="仿宋_GB2312" w:hAnsi="仿宋_GB2312" w:cs="仿宋_GB2312" w:eastAsia="仿宋_GB2312"/>
        </w:rPr>
        <w:t>同正项目管理有限公司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汉中职业技术学院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同正项目管理有限公司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对合同履行结果进行评估。主要从验收时间、验收内容、验收标准、验收方式等方面进行。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同正项目管理有限公司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同正项目管理有限公司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同正项目管理有限公司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联系人：王丽</w:t>
      </w:r>
    </w:p>
    <w:p>
      <w:pPr>
        <w:pStyle w:val="null3"/>
      </w:pPr>
      <w:r>
        <w:rPr>
          <w:rFonts w:ascii="仿宋_GB2312" w:hAnsi="仿宋_GB2312" w:cs="仿宋_GB2312" w:eastAsia="仿宋_GB2312"/>
        </w:rPr>
        <w:t>联系电话：0916-8897702</w:t>
      </w:r>
    </w:p>
    <w:p>
      <w:pPr>
        <w:pStyle w:val="null3"/>
      </w:pPr>
      <w:r>
        <w:rPr>
          <w:rFonts w:ascii="仿宋_GB2312" w:hAnsi="仿宋_GB2312" w:cs="仿宋_GB2312" w:eastAsia="仿宋_GB2312"/>
        </w:rPr>
        <w:t>地址：汉中市汉台区西一环路蓝天御苑小区商铺二层门面房</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数字化机电仿真实训室建设</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663,000.00</w:t>
      </w:r>
    </w:p>
    <w:p>
      <w:pPr>
        <w:pStyle w:val="null3"/>
      </w:pPr>
      <w:r>
        <w:rPr>
          <w:rFonts w:ascii="仿宋_GB2312" w:hAnsi="仿宋_GB2312" w:cs="仿宋_GB2312" w:eastAsia="仿宋_GB2312"/>
        </w:rPr>
        <w:t>采购包最高限价（元）: 663,000.00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货物</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663,000.00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标的名称：货物</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97"/>
              <w:gridCol w:w="571"/>
              <w:gridCol w:w="571"/>
              <w:gridCol w:w="571"/>
              <w:gridCol w:w="571"/>
              <w:gridCol w:w="73"/>
            </w:tblGrid>
            <w:tr>
              <w:tc>
                <w:tcPr>
                  <w:tcW w:type="dxa" w:w="2481"/>
                  <w:gridSpan w:val="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00"/>
                    <w:jc w:val="center"/>
                  </w:pPr>
                  <w:r>
                    <w:rPr>
                      <w:rFonts w:ascii="仿宋_GB2312" w:hAnsi="仿宋_GB2312" w:cs="仿宋_GB2312" w:eastAsia="仿宋_GB2312"/>
                      <w:sz w:val="21"/>
                      <w:b/>
                      <w:color w:val="000000"/>
                    </w:rPr>
                    <w:t>一、技术要求</w:t>
                  </w:r>
                </w:p>
              </w:tc>
              <w:tc>
                <w:tcPr>
                  <w:tcW w:type="dxa" w:w="7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r>
            <w:tr>
              <w:tc>
                <w:tcPr>
                  <w:tcW w:type="dxa" w:w="2481"/>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00"/>
                    <w:jc w:val="center"/>
                  </w:pPr>
                  <w:r>
                    <w:rPr>
                      <w:rFonts w:ascii="仿宋_GB2312" w:hAnsi="仿宋_GB2312" w:cs="仿宋_GB2312" w:eastAsia="仿宋_GB2312"/>
                      <w:sz w:val="21"/>
                      <w:b/>
                      <w:color w:val="000000"/>
                    </w:rPr>
                    <w:t>◁（一）数控仿真实训系统（采购15套）</w:t>
                  </w:r>
                </w:p>
              </w:tc>
              <w:tc>
                <w:tcPr>
                  <w:tcW w:type="dxa" w:w="7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r>
            <w:tr>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参数性质</w:t>
                  </w:r>
                </w:p>
              </w:tc>
              <w:tc>
                <w:tcPr>
                  <w:tcW w:type="dxa" w:w="1142"/>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序号</w:t>
                  </w:r>
                </w:p>
              </w:tc>
              <w:tc>
                <w:tcPr>
                  <w:tcW w:type="dxa" w:w="1142"/>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200"/>
                    <w:jc w:val="center"/>
                  </w:pPr>
                  <w:r>
                    <w:rPr>
                      <w:rFonts w:ascii="仿宋_GB2312" w:hAnsi="仿宋_GB2312" w:cs="仿宋_GB2312" w:eastAsia="仿宋_GB2312"/>
                      <w:sz w:val="21"/>
                      <w:b/>
                      <w:color w:val="000000"/>
                    </w:rPr>
                    <w:t>技术参数与性能指标</w:t>
                  </w:r>
                </w:p>
              </w:tc>
              <w:tc>
                <w:tcPr>
                  <w:tcW w:type="dxa" w:w="7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r>
            <w:tr>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00"/>
                    <w:jc w:val="center"/>
                  </w:pPr>
                  <w:r>
                    <w:rPr>
                      <w:rFonts w:ascii="仿宋_GB2312" w:hAnsi="仿宋_GB2312" w:cs="仿宋_GB2312" w:eastAsia="仿宋_GB2312"/>
                      <w:sz w:val="21"/>
                      <w:color w:val="000000"/>
                    </w:rPr>
                    <w:t>●</w:t>
                  </w:r>
                </w:p>
              </w:tc>
              <w:tc>
                <w:tcPr>
                  <w:tcW w:type="dxa" w:w="114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4"/>
                    <w:jc w:val="center"/>
                  </w:pPr>
                  <w:r>
                    <w:rPr>
                      <w:rFonts w:ascii="仿宋_GB2312" w:hAnsi="仿宋_GB2312" w:cs="仿宋_GB2312" w:eastAsia="仿宋_GB2312"/>
                      <w:sz w:val="21"/>
                      <w:color w:val="000000"/>
                    </w:rPr>
                    <w:t>1</w:t>
                  </w:r>
                </w:p>
              </w:tc>
              <w:tc>
                <w:tcPr>
                  <w:tcW w:type="dxa" w:w="114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同一软件须支持教学和竞赛两种运行环境，不同运行环境之间可实现一键快速切换。教学版支持海德汉</w:t>
                  </w:r>
                  <w:r>
                    <w:rPr>
                      <w:rFonts w:ascii="仿宋_GB2312" w:hAnsi="仿宋_GB2312" w:cs="仿宋_GB2312" w:eastAsia="仿宋_GB2312"/>
                      <w:sz w:val="21"/>
                      <w:color w:val="000000"/>
                    </w:rPr>
                    <w:t>530/640、华中848等不少于6种国内外主流多轴数控系统虚拟显示面板、虚拟机床操作面板，支持程序导入、MDI、手动、循环、程序编辑等相关操作；</w:t>
                  </w:r>
                </w:p>
                <w:p>
                  <w:pPr>
                    <w:pStyle w:val="null3"/>
                    <w:jc w:val="both"/>
                  </w:pPr>
                  <w:r>
                    <w:rPr>
                      <w:rFonts w:ascii="仿宋_GB2312" w:hAnsi="仿宋_GB2312" w:cs="仿宋_GB2312" w:eastAsia="仿宋_GB2312"/>
                      <w:sz w:val="21"/>
                      <w:color w:val="000000"/>
                    </w:rPr>
                    <w:t>竞赛版支持仿真、验证和分析不少于</w:t>
                  </w:r>
                  <w:r>
                    <w:rPr>
                      <w:rFonts w:ascii="仿宋_GB2312" w:hAnsi="仿宋_GB2312" w:cs="仿宋_GB2312" w:eastAsia="仿宋_GB2312"/>
                      <w:sz w:val="21"/>
                      <w:color w:val="000000"/>
                    </w:rPr>
                    <w:t>5种国内外主流五轴数控系统NC代码，快速坐标系设置、刀具设置、毛坯设置、NC代码导入，不操作数控系统、不显示数控系统情况下快速仿真加工结果。（需提供软件功能现场演示）</w:t>
                  </w:r>
                </w:p>
              </w:tc>
              <w:tc>
                <w:tcPr>
                  <w:tcW w:type="dxa" w:w="7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r>
            <w:tr>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00"/>
                    <w:jc w:val="center"/>
                  </w:pPr>
                </w:p>
              </w:tc>
              <w:tc>
                <w:tcPr>
                  <w:tcW w:type="dxa" w:w="114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114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软件内部须支持车、铣机床模型库，包含且不限于：四方刀塔、斜式刀塔、多轴加工中心、车铣复合等，同时师生可根据现有数控系统搭建一比一机床模型，所有机构运动和真实机床一致，包含线性运动、旋转运动、换刀结构运动、刀具刀柄、工装夹具、系统显示</w:t>
                  </w:r>
                </w:p>
              </w:tc>
              <w:tc>
                <w:tcPr>
                  <w:tcW w:type="dxa" w:w="7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r>
            <w:tr>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00"/>
                    <w:jc w:val="center"/>
                  </w:pPr>
                </w:p>
              </w:tc>
              <w:tc>
                <w:tcPr>
                  <w:tcW w:type="dxa" w:w="114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114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发生干涉：机床仿真会以声效、视觉呈现数控系统内部呈现出报错地址，操作者可以根据提示修改操作或者</w:t>
                  </w:r>
                  <w:r>
                    <w:rPr>
                      <w:rFonts w:ascii="仿宋_GB2312" w:hAnsi="仿宋_GB2312" w:cs="仿宋_GB2312" w:eastAsia="仿宋_GB2312"/>
                      <w:sz w:val="21"/>
                      <w:color w:val="000000"/>
                    </w:rPr>
                    <w:t>NC程序。</w:t>
                  </w:r>
                </w:p>
              </w:tc>
              <w:tc>
                <w:tcPr>
                  <w:tcW w:type="dxa" w:w="7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r>
            <w:tr>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00"/>
                    <w:jc w:val="center"/>
                  </w:pPr>
                </w:p>
              </w:tc>
              <w:tc>
                <w:tcPr>
                  <w:tcW w:type="dxa" w:w="114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114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虚拟的机床操作环境包含：机床运动部分、操作面板部分、显示面板部分。系统操作时通过视觉、声效真实反映出真实机床加工环境。</w:t>
                  </w:r>
                </w:p>
              </w:tc>
              <w:tc>
                <w:tcPr>
                  <w:tcW w:type="dxa" w:w="7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r>
            <w:tr>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00"/>
                    <w:jc w:val="center"/>
                  </w:pPr>
                </w:p>
              </w:tc>
              <w:tc>
                <w:tcPr>
                  <w:tcW w:type="dxa" w:w="114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114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支持六面体、圆柱体毛坯内部设置，同时支持任意形状</w:t>
                  </w:r>
                  <w:r>
                    <w:rPr>
                      <w:rFonts w:ascii="仿宋_GB2312" w:hAnsi="仿宋_GB2312" w:cs="仿宋_GB2312" w:eastAsia="仿宋_GB2312"/>
                      <w:sz w:val="21"/>
                      <w:color w:val="000000"/>
                    </w:rPr>
                    <w:t>CAD模型自定义导入。</w:t>
                  </w:r>
                </w:p>
              </w:tc>
              <w:tc>
                <w:tcPr>
                  <w:tcW w:type="dxa" w:w="7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r>
            <w:tr>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00"/>
                    <w:jc w:val="center"/>
                  </w:pPr>
                </w:p>
              </w:tc>
              <w:tc>
                <w:tcPr>
                  <w:tcW w:type="dxa" w:w="114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114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开放式机床结构定义，师生可通过机床搭建工具快速定义各类多轴机床，支持正交与非正交机床搭建，默认</w:t>
                  </w:r>
                  <w:r>
                    <w:rPr>
                      <w:rFonts w:ascii="仿宋_GB2312" w:hAnsi="仿宋_GB2312" w:cs="仿宋_GB2312" w:eastAsia="仿宋_GB2312"/>
                      <w:sz w:val="21"/>
                      <w:color w:val="000000"/>
                    </w:rPr>
                    <w:t>workpiece_adaptor1,Table_fixture与holder_transform干涉保护</w:t>
                  </w:r>
                </w:p>
              </w:tc>
              <w:tc>
                <w:tcPr>
                  <w:tcW w:type="dxa" w:w="7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r>
            <w:tr>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00"/>
                    <w:jc w:val="center"/>
                  </w:pPr>
                </w:p>
              </w:tc>
              <w:tc>
                <w:tcPr>
                  <w:tcW w:type="dxa" w:w="114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114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内置刀柄、刀具库：自带真实</w:t>
                  </w:r>
                  <w:r>
                    <w:rPr>
                      <w:rFonts w:ascii="仿宋_GB2312" w:hAnsi="仿宋_GB2312" w:cs="仿宋_GB2312" w:eastAsia="仿宋_GB2312"/>
                      <w:sz w:val="21"/>
                      <w:color w:val="000000"/>
                    </w:rPr>
                    <w:t>3D刀具、刀柄、寻边器、Z向对刀仪等工具。用户可以对刀具、刀柄的各类尺寸参数进行编辑修改。</w:t>
                  </w:r>
                </w:p>
              </w:tc>
              <w:tc>
                <w:tcPr>
                  <w:tcW w:type="dxa" w:w="7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r>
            <w:tr>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00"/>
                    <w:jc w:val="center"/>
                  </w:pPr>
                </w:p>
              </w:tc>
              <w:tc>
                <w:tcPr>
                  <w:tcW w:type="dxa" w:w="114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114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内置标准夹具库，自带五轴专用夹具：虎钳、卡盘（支持</w:t>
                  </w:r>
                  <w:r>
                    <w:rPr>
                      <w:rFonts w:ascii="仿宋_GB2312" w:hAnsi="仿宋_GB2312" w:cs="仿宋_GB2312" w:eastAsia="仿宋_GB2312"/>
                      <w:sz w:val="21"/>
                      <w:color w:val="000000"/>
                    </w:rPr>
                    <w:t>4种装夹方法）并且保证加工时避免干涩，同时支持CAD模型自定义外部导入。</w:t>
                  </w:r>
                </w:p>
              </w:tc>
              <w:tc>
                <w:tcPr>
                  <w:tcW w:type="dxa" w:w="7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r>
            <w:tr>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00"/>
                    <w:jc w:val="center"/>
                  </w:pPr>
                  <w:r>
                    <w:rPr>
                      <w:rFonts w:ascii="仿宋_GB2312" w:hAnsi="仿宋_GB2312" w:cs="仿宋_GB2312" w:eastAsia="仿宋_GB2312"/>
                      <w:sz w:val="21"/>
                      <w:color w:val="000000"/>
                    </w:rPr>
                    <w:t>▆</w:t>
                  </w:r>
                </w:p>
              </w:tc>
              <w:tc>
                <w:tcPr>
                  <w:tcW w:type="dxa" w:w="114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4"/>
                    <w:jc w:val="center"/>
                  </w:pPr>
                  <w:r>
                    <w:rPr>
                      <w:rFonts w:ascii="仿宋_GB2312" w:hAnsi="仿宋_GB2312" w:cs="仿宋_GB2312" w:eastAsia="仿宋_GB2312"/>
                      <w:sz w:val="21"/>
                      <w:color w:val="000000"/>
                    </w:rPr>
                    <w:t>9</w:t>
                  </w:r>
                </w:p>
              </w:tc>
              <w:tc>
                <w:tcPr>
                  <w:tcW w:type="dxa" w:w="114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刀具图文对话功能：铣刀、车刀、刀座、刀杆、刀柄等可使用图文对话自定义各种参数和形状，通过刀具表组装功能实时预览三维模型。</w:t>
                  </w:r>
                </w:p>
              </w:tc>
              <w:tc>
                <w:tcPr>
                  <w:tcW w:type="dxa" w:w="7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r>
            <w:tr>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00"/>
                    <w:jc w:val="center"/>
                  </w:pPr>
                  <w:r>
                    <w:rPr>
                      <w:rFonts w:ascii="仿宋_GB2312" w:hAnsi="仿宋_GB2312" w:cs="仿宋_GB2312" w:eastAsia="仿宋_GB2312"/>
                      <w:sz w:val="21"/>
                      <w:color w:val="000000"/>
                    </w:rPr>
                    <w:t>▆</w:t>
                  </w:r>
                </w:p>
              </w:tc>
              <w:tc>
                <w:tcPr>
                  <w:tcW w:type="dxa" w:w="114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4"/>
                    <w:jc w:val="center"/>
                  </w:pPr>
                  <w:r>
                    <w:rPr>
                      <w:rFonts w:ascii="仿宋_GB2312" w:hAnsi="仿宋_GB2312" w:cs="仿宋_GB2312" w:eastAsia="仿宋_GB2312"/>
                      <w:sz w:val="21"/>
                      <w:color w:val="000000"/>
                    </w:rPr>
                    <w:t>10</w:t>
                  </w:r>
                </w:p>
              </w:tc>
              <w:tc>
                <w:tcPr>
                  <w:tcW w:type="dxa" w:w="114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车削中心加工仿真，支持</w:t>
                  </w:r>
                  <w:r>
                    <w:rPr>
                      <w:rFonts w:ascii="仿宋_GB2312" w:hAnsi="仿宋_GB2312" w:cs="仿宋_GB2312" w:eastAsia="仿宋_GB2312"/>
                      <w:sz w:val="21"/>
                      <w:color w:val="000000"/>
                    </w:rPr>
                    <w:t>Y轴运动定义，可实现偏心孔、键槽、平面铣削等非回转对称特征的仿真加工。</w:t>
                  </w:r>
                </w:p>
              </w:tc>
              <w:tc>
                <w:tcPr>
                  <w:tcW w:type="dxa" w:w="7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r>
            <w:tr>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00"/>
                    <w:jc w:val="center"/>
                  </w:pPr>
                </w:p>
              </w:tc>
              <w:tc>
                <w:tcPr>
                  <w:tcW w:type="dxa" w:w="114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w:t>
                  </w:r>
                </w:p>
              </w:tc>
              <w:tc>
                <w:tcPr>
                  <w:tcW w:type="dxa" w:w="114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具有市场通用</w:t>
                  </w:r>
                  <w:r>
                    <w:rPr>
                      <w:rFonts w:ascii="仿宋_GB2312" w:hAnsi="仿宋_GB2312" w:cs="仿宋_GB2312" w:eastAsia="仿宋_GB2312"/>
                      <w:sz w:val="21"/>
                      <w:color w:val="000000"/>
                    </w:rPr>
                    <w:t>CAD/CAM接口，可满足不同用户使用需求；用户导入CAM中生成的NC代码就可以实现仿真加工验证，针对特殊毛坯、夹具导入CAD中生成的STL格式模型就可以在软件中正常使用。</w:t>
                  </w:r>
                </w:p>
              </w:tc>
              <w:tc>
                <w:tcPr>
                  <w:tcW w:type="dxa" w:w="7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r>
            <w:tr>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00"/>
                    <w:jc w:val="center"/>
                  </w:pPr>
                  <w:r>
                    <w:rPr>
                      <w:rFonts w:ascii="仿宋_GB2312" w:hAnsi="仿宋_GB2312" w:cs="仿宋_GB2312" w:eastAsia="仿宋_GB2312"/>
                      <w:sz w:val="21"/>
                      <w:color w:val="000000"/>
                    </w:rPr>
                    <w:t>▆</w:t>
                  </w:r>
                </w:p>
              </w:tc>
              <w:tc>
                <w:tcPr>
                  <w:tcW w:type="dxa" w:w="114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4"/>
                    <w:jc w:val="center"/>
                  </w:pPr>
                  <w:r>
                    <w:rPr>
                      <w:rFonts w:ascii="仿宋_GB2312" w:hAnsi="仿宋_GB2312" w:cs="仿宋_GB2312" w:eastAsia="仿宋_GB2312"/>
                      <w:sz w:val="21"/>
                      <w:color w:val="000000"/>
                    </w:rPr>
                    <w:t>12</w:t>
                  </w:r>
                </w:p>
              </w:tc>
              <w:tc>
                <w:tcPr>
                  <w:tcW w:type="dxa" w:w="114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测量模块：可对仿真加工完成后</w:t>
                  </w:r>
                  <w:r>
                    <w:rPr>
                      <w:rFonts w:ascii="仿宋_GB2312" w:hAnsi="仿宋_GB2312" w:cs="仿宋_GB2312" w:eastAsia="仿宋_GB2312"/>
                      <w:sz w:val="21"/>
                      <w:color w:val="000000"/>
                    </w:rPr>
                    <w:t>3D模型进行长度测量、角度测量、圆弧测量等；输入标准值和公差值，系统能够以表格形式分析、输出Excel测量报表。</w:t>
                  </w:r>
                </w:p>
              </w:tc>
              <w:tc>
                <w:tcPr>
                  <w:tcW w:type="dxa" w:w="7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r>
            <w:tr>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00"/>
                    <w:jc w:val="center"/>
                  </w:pPr>
                </w:p>
              </w:tc>
              <w:tc>
                <w:tcPr>
                  <w:tcW w:type="dxa" w:w="114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w:t>
                  </w:r>
                </w:p>
              </w:tc>
              <w:tc>
                <w:tcPr>
                  <w:tcW w:type="dxa" w:w="114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支持</w:t>
                  </w:r>
                  <w:r>
                    <w:rPr>
                      <w:rFonts w:ascii="仿宋_GB2312" w:hAnsi="仿宋_GB2312" w:cs="仿宋_GB2312" w:eastAsia="仿宋_GB2312"/>
                      <w:sz w:val="21"/>
                      <w:color w:val="000000"/>
                    </w:rPr>
                    <w:t>3D模型比对计算模块：仿真结束后，启动比较功能；仿真加工后的零件模型与设计原型自动计算比较过切和残留，可通过不同的颜色直观地看到过切和残余部分，比较精度能够自定义。</w:t>
                  </w:r>
                </w:p>
              </w:tc>
              <w:tc>
                <w:tcPr>
                  <w:tcW w:type="dxa" w:w="7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r>
            <w:tr>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00"/>
                    <w:jc w:val="center"/>
                  </w:pPr>
                </w:p>
              </w:tc>
              <w:tc>
                <w:tcPr>
                  <w:tcW w:type="dxa" w:w="114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w:t>
                  </w:r>
                </w:p>
              </w:tc>
              <w:tc>
                <w:tcPr>
                  <w:tcW w:type="dxa" w:w="114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仿真加工过程中支持</w:t>
                  </w:r>
                  <w:r>
                    <w:rPr>
                      <w:rFonts w:ascii="仿宋_GB2312" w:hAnsi="仿宋_GB2312" w:cs="仿宋_GB2312" w:eastAsia="仿宋_GB2312"/>
                      <w:sz w:val="21"/>
                      <w:color w:val="000000"/>
                    </w:rPr>
                    <w:t>STL格式的三维实体模型的输出，仿真效率要高。</w:t>
                  </w:r>
                </w:p>
              </w:tc>
              <w:tc>
                <w:tcPr>
                  <w:tcW w:type="dxa" w:w="7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r>
            <w:tr>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00"/>
                    <w:jc w:val="center"/>
                  </w:pPr>
                </w:p>
              </w:tc>
              <w:tc>
                <w:tcPr>
                  <w:tcW w:type="dxa" w:w="114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w:t>
                  </w:r>
                </w:p>
              </w:tc>
              <w:tc>
                <w:tcPr>
                  <w:tcW w:type="dxa" w:w="114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具有真实加工声效、切削液显示、材料切削、真实刀具加工</w:t>
                  </w:r>
                </w:p>
              </w:tc>
              <w:tc>
                <w:tcPr>
                  <w:tcW w:type="dxa" w:w="7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r>
            <w:tr>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00"/>
                    <w:jc w:val="center"/>
                  </w:pPr>
                </w:p>
              </w:tc>
              <w:tc>
                <w:tcPr>
                  <w:tcW w:type="dxa" w:w="114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w:t>
                  </w:r>
                </w:p>
              </w:tc>
              <w:tc>
                <w:tcPr>
                  <w:tcW w:type="dxa" w:w="114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软件支持后期扩展车床、机器人、车铣复合</w:t>
                  </w:r>
                  <w:r>
                    <w:rPr>
                      <w:rFonts w:ascii="仿宋_GB2312" w:hAnsi="仿宋_GB2312" w:cs="仿宋_GB2312" w:eastAsia="仿宋_GB2312"/>
                      <w:sz w:val="21"/>
                      <w:color w:val="000000"/>
                    </w:rPr>
                    <w:t>API接口，至少包含Fanuc4轴铣床、Fanuc车床、机械臂、工作台式物料架，MES系统、Fanuc铣床系统、Fanuc车床系统、PLC编程等。满足铣床、车床、机械臂产线同时运动加工仿真，实现单机床加工仿真、产线整体加工仿真</w:t>
                  </w:r>
                </w:p>
              </w:tc>
              <w:tc>
                <w:tcPr>
                  <w:tcW w:type="dxa" w:w="7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r>
            <w:tr>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00"/>
                    <w:jc w:val="center"/>
                  </w:pPr>
                </w:p>
              </w:tc>
              <w:tc>
                <w:tcPr>
                  <w:tcW w:type="dxa" w:w="114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w:t>
                  </w:r>
                </w:p>
              </w:tc>
              <w:tc>
                <w:tcPr>
                  <w:tcW w:type="dxa" w:w="114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配套项目指导书、项目源文件等多轴加工课程案例和资源不少于</w:t>
                  </w:r>
                  <w:r>
                    <w:rPr>
                      <w:rFonts w:ascii="仿宋_GB2312" w:hAnsi="仿宋_GB2312" w:cs="仿宋_GB2312" w:eastAsia="仿宋_GB2312"/>
                      <w:sz w:val="21"/>
                      <w:color w:val="000000"/>
                    </w:rPr>
                    <w:t>10套。</w:t>
                  </w:r>
                </w:p>
              </w:tc>
              <w:tc>
                <w:tcPr>
                  <w:tcW w:type="dxa" w:w="7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r>
            <w:tr>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00"/>
                    <w:jc w:val="center"/>
                  </w:pPr>
                </w:p>
              </w:tc>
              <w:tc>
                <w:tcPr>
                  <w:tcW w:type="dxa" w:w="114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w:t>
                  </w:r>
                </w:p>
              </w:tc>
              <w:tc>
                <w:tcPr>
                  <w:tcW w:type="dxa" w:w="114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数控仿真实训系统提供终生免费升级，</w:t>
                  </w:r>
                  <w:r>
                    <w:rPr>
                      <w:rFonts w:ascii="仿宋_GB2312" w:hAnsi="仿宋_GB2312" w:cs="仿宋_GB2312" w:eastAsia="仿宋_GB2312"/>
                      <w:sz w:val="21"/>
                      <w:color w:val="000000"/>
                    </w:rPr>
                    <w:t>3年免费维保服务，提供7×24小时故障响应，2小时内到场，每月到实训室巡检排查故障一次，每学期初免费升级操作系统。</w:t>
                  </w:r>
                </w:p>
              </w:tc>
              <w:tc>
                <w:tcPr>
                  <w:tcW w:type="dxa" w:w="7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r>
            <w:tr>
              <w:tc>
                <w:tcPr>
                  <w:tcW w:type="dxa" w:w="2554"/>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◯◑（二）仿真操作终端（采购15台）</w:t>
                  </w:r>
                </w:p>
              </w:tc>
            </w:tr>
            <w:tr>
              <w:tc>
                <w:tcPr>
                  <w:tcW w:type="dxa" w:w="76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参数性质</w:t>
                  </w:r>
                </w:p>
              </w:tc>
              <w:tc>
                <w:tcPr>
                  <w:tcW w:type="dxa" w:w="1142"/>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序号</w:t>
                  </w:r>
                </w:p>
              </w:tc>
              <w:tc>
                <w:tcPr>
                  <w:tcW w:type="dxa" w:w="644"/>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技术参数与性能指标</w:t>
                  </w:r>
                </w:p>
              </w:tc>
            </w:tr>
            <w:tr>
              <w:tc>
                <w:tcPr>
                  <w:tcW w:type="dxa" w:w="76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4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64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支持本项目采购品目</w:t>
                  </w:r>
                  <w:r>
                    <w:rPr>
                      <w:rFonts w:ascii="仿宋_GB2312" w:hAnsi="仿宋_GB2312" w:cs="仿宋_GB2312" w:eastAsia="仿宋_GB2312"/>
                      <w:sz w:val="21"/>
                      <w:color w:val="000000"/>
                    </w:rPr>
                    <w:t>1“数控仿真系统”24H流畅运行。</w:t>
                  </w:r>
                </w:p>
              </w:tc>
            </w:tr>
            <w:tr>
              <w:tc>
                <w:tcPr>
                  <w:tcW w:type="dxa" w:w="76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114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64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能够流场运行</w:t>
                  </w:r>
                  <w:r>
                    <w:rPr>
                      <w:rFonts w:ascii="仿宋_GB2312" w:hAnsi="仿宋_GB2312" w:cs="仿宋_GB2312" w:eastAsia="仿宋_GB2312"/>
                      <w:sz w:val="21"/>
                      <w:color w:val="000000"/>
                    </w:rPr>
                    <w:t>UG NX、Mastercam、PowerMILL、CAXA、中望 3D等CNC编程软件。</w:t>
                  </w:r>
                </w:p>
              </w:tc>
            </w:tr>
            <w:tr>
              <w:tc>
                <w:tcPr>
                  <w:tcW w:type="dxa" w:w="76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114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4"/>
                    <w:jc w:val="center"/>
                  </w:pPr>
                  <w:r>
                    <w:rPr>
                      <w:rFonts w:ascii="仿宋_GB2312" w:hAnsi="仿宋_GB2312" w:cs="仿宋_GB2312" w:eastAsia="仿宋_GB2312"/>
                      <w:sz w:val="21"/>
                      <w:color w:val="000000"/>
                    </w:rPr>
                    <w:t>3</w:t>
                  </w:r>
                </w:p>
              </w:tc>
              <w:tc>
                <w:tcPr>
                  <w:tcW w:type="dxa" w:w="64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正版操作系统，处理器</w:t>
                  </w:r>
                  <w:r>
                    <w:rPr>
                      <w:rFonts w:ascii="仿宋_GB2312" w:hAnsi="仿宋_GB2312" w:cs="仿宋_GB2312" w:eastAsia="仿宋_GB2312"/>
                      <w:sz w:val="21"/>
                      <w:color w:val="000000"/>
                    </w:rPr>
                    <w:t>≥14核，20线程，最大主频5GHz，缓存≥24M；</w:t>
                  </w:r>
                </w:p>
              </w:tc>
            </w:tr>
            <w:tr>
              <w:tc>
                <w:tcPr>
                  <w:tcW w:type="dxa" w:w="76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14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64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内存</w:t>
                  </w:r>
                  <w:r>
                    <w:rPr>
                      <w:rFonts w:ascii="仿宋_GB2312" w:hAnsi="仿宋_GB2312" w:cs="仿宋_GB2312" w:eastAsia="仿宋_GB2312"/>
                      <w:sz w:val="21"/>
                      <w:color w:val="000000"/>
                    </w:rPr>
                    <w:t>≥16G（DDR5）；硬盘≥512GB SSD+1TB HDD。</w:t>
                  </w:r>
                </w:p>
              </w:tc>
            </w:tr>
            <w:tr>
              <w:tc>
                <w:tcPr>
                  <w:tcW w:type="dxa" w:w="76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4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64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显卡：独立显卡，显存</w:t>
                  </w:r>
                  <w:r>
                    <w:rPr>
                      <w:rFonts w:ascii="仿宋_GB2312" w:hAnsi="仿宋_GB2312" w:cs="仿宋_GB2312" w:eastAsia="仿宋_GB2312"/>
                      <w:sz w:val="21"/>
                      <w:color w:val="000000"/>
                    </w:rPr>
                    <w:t>≥2G。</w:t>
                  </w:r>
                </w:p>
              </w:tc>
            </w:tr>
            <w:tr>
              <w:tc>
                <w:tcPr>
                  <w:tcW w:type="dxa" w:w="76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4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64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显示器</w:t>
                  </w:r>
                  <w:r>
                    <w:rPr>
                      <w:rFonts w:ascii="仿宋_GB2312" w:hAnsi="仿宋_GB2312" w:cs="仿宋_GB2312" w:eastAsia="仿宋_GB2312"/>
                      <w:sz w:val="21"/>
                      <w:color w:val="000000"/>
                    </w:rPr>
                    <w:t>≥27 英寸，分辨率≥1920*1080。</w:t>
                  </w:r>
                </w:p>
              </w:tc>
            </w:tr>
            <w:tr>
              <w:tc>
                <w:tcPr>
                  <w:tcW w:type="dxa" w:w="76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4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64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配套键盘、鼠标，配套硬件还原卡，支持网络同传，系统还原，支持对操作系统进行镜像备份和恢复。</w:t>
                  </w:r>
                </w:p>
              </w:tc>
            </w:tr>
            <w:tr>
              <w:tc>
                <w:tcPr>
                  <w:tcW w:type="dxa" w:w="76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4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64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质保期</w:t>
                  </w:r>
                  <w:r>
                    <w:rPr>
                      <w:rFonts w:ascii="仿宋_GB2312" w:hAnsi="仿宋_GB2312" w:cs="仿宋_GB2312" w:eastAsia="仿宋_GB2312"/>
                      <w:sz w:val="21"/>
                      <w:color w:val="000000"/>
                    </w:rPr>
                    <w:t>≥3年，提供免费上门服务。每月到实训室巡检排查故障一次，每学期初免费升级电脑软件和应用软件。</w:t>
                  </w:r>
                </w:p>
              </w:tc>
            </w:tr>
            <w:tr>
              <w:tc>
                <w:tcPr>
                  <w:tcW w:type="dxa" w:w="2554"/>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 xml:space="preserve">                         ◯</w:t>
                  </w:r>
                  <w:r>
                    <w:rPr>
                      <w:rFonts w:ascii="仿宋_GB2312" w:hAnsi="仿宋_GB2312" w:cs="仿宋_GB2312" w:eastAsia="仿宋_GB2312"/>
                      <w:sz w:val="21"/>
                      <w:b/>
                      <w:color w:val="000000"/>
                    </w:rPr>
                    <w:t>◑（三）CAE工作站（采购1台）</w:t>
                  </w:r>
                </w:p>
              </w:tc>
            </w:tr>
            <w:tr>
              <w:tc>
                <w:tcPr>
                  <w:tcW w:type="dxa" w:w="76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参数性质</w:t>
                  </w:r>
                </w:p>
              </w:tc>
              <w:tc>
                <w:tcPr>
                  <w:tcW w:type="dxa" w:w="1142"/>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序号</w:t>
                  </w:r>
                </w:p>
              </w:tc>
              <w:tc>
                <w:tcPr>
                  <w:tcW w:type="dxa" w:w="644"/>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技术参数与性能指标</w:t>
                  </w:r>
                </w:p>
              </w:tc>
            </w:tr>
            <w:tr>
              <w:tc>
                <w:tcPr>
                  <w:tcW w:type="dxa" w:w="76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4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64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支持</w:t>
                  </w:r>
                  <w:r>
                    <w:rPr>
                      <w:rFonts w:ascii="仿宋_GB2312" w:hAnsi="仿宋_GB2312" w:cs="仿宋_GB2312" w:eastAsia="仿宋_GB2312"/>
                      <w:sz w:val="21"/>
                      <w:b/>
                      <w:color w:val="000000"/>
                    </w:rPr>
                    <w:t>ANSYS、Abaqus、STAR-CCM+</w:t>
                  </w:r>
                  <w:r>
                    <w:rPr>
                      <w:rFonts w:ascii="仿宋_GB2312" w:hAnsi="仿宋_GB2312" w:cs="仿宋_GB2312" w:eastAsia="仿宋_GB2312"/>
                      <w:sz w:val="21"/>
                      <w:color w:val="000000"/>
                    </w:rPr>
                    <w:t>、</w:t>
                  </w:r>
                  <w:r>
                    <w:rPr>
                      <w:rFonts w:ascii="仿宋_GB2312" w:hAnsi="仿宋_GB2312" w:cs="仿宋_GB2312" w:eastAsia="仿宋_GB2312"/>
                      <w:sz w:val="21"/>
                      <w:b/>
                      <w:color w:val="000000"/>
                    </w:rPr>
                    <w:t>COMSOL等大型CAE软件24H流场运行。</w:t>
                  </w:r>
                </w:p>
              </w:tc>
            </w:tr>
            <w:tr>
              <w:tc>
                <w:tcPr>
                  <w:tcW w:type="dxa" w:w="76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114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4"/>
                    <w:jc w:val="center"/>
                  </w:pPr>
                  <w:r>
                    <w:rPr>
                      <w:rFonts w:ascii="仿宋_GB2312" w:hAnsi="仿宋_GB2312" w:cs="仿宋_GB2312" w:eastAsia="仿宋_GB2312"/>
                      <w:sz w:val="21"/>
                      <w:color w:val="000000"/>
                    </w:rPr>
                    <w:t>2</w:t>
                  </w:r>
                </w:p>
              </w:tc>
              <w:tc>
                <w:tcPr>
                  <w:tcW w:type="dxa" w:w="64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处理器核数</w:t>
                  </w:r>
                  <w:r>
                    <w:rPr>
                      <w:rFonts w:ascii="仿宋_GB2312" w:hAnsi="仿宋_GB2312" w:cs="仿宋_GB2312" w:eastAsia="仿宋_GB2312"/>
                      <w:sz w:val="21"/>
                      <w:color w:val="000000"/>
                    </w:rPr>
                    <w:t>≥256，线程≥512，颗数≥2，主频≥2.7GHz。</w:t>
                  </w:r>
                </w:p>
              </w:tc>
            </w:tr>
            <w:tr>
              <w:tc>
                <w:tcPr>
                  <w:tcW w:type="dxa" w:w="76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40"/>
                    <w:jc w:val="both"/>
                  </w:pPr>
                  <w:r>
                    <w:rPr>
                      <w:rFonts w:ascii="仿宋_GB2312" w:hAnsi="仿宋_GB2312" w:cs="仿宋_GB2312" w:eastAsia="仿宋_GB2312"/>
                      <w:sz w:val="21"/>
                      <w:color w:val="000000"/>
                    </w:rPr>
                    <w:t xml:space="preserve">      ▲</w:t>
                  </w:r>
                </w:p>
              </w:tc>
              <w:tc>
                <w:tcPr>
                  <w:tcW w:type="dxa" w:w="114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64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内存</w:t>
                  </w:r>
                  <w:r>
                    <w:rPr>
                      <w:rFonts w:ascii="仿宋_GB2312" w:hAnsi="仿宋_GB2312" w:cs="仿宋_GB2312" w:eastAsia="仿宋_GB2312"/>
                      <w:sz w:val="21"/>
                      <w:color w:val="000000"/>
                    </w:rPr>
                    <w:t>≥128G（DDR5）企业级服务器内存。</w:t>
                  </w:r>
                </w:p>
              </w:tc>
            </w:tr>
            <w:tr>
              <w:tc>
                <w:tcPr>
                  <w:tcW w:type="dxa" w:w="76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14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64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硬盘：</w:t>
                  </w:r>
                  <w:r>
                    <w:rPr>
                      <w:rFonts w:ascii="仿宋_GB2312" w:hAnsi="仿宋_GB2312" w:cs="仿宋_GB2312" w:eastAsia="仿宋_GB2312"/>
                      <w:sz w:val="21"/>
                      <w:color w:val="000000"/>
                    </w:rPr>
                    <w:t>≥1T（SSD）+2TB（HDD）企业级。</w:t>
                  </w:r>
                </w:p>
              </w:tc>
            </w:tr>
            <w:tr>
              <w:tc>
                <w:tcPr>
                  <w:tcW w:type="dxa" w:w="76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4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64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散热：风冷散热。</w:t>
                  </w:r>
                </w:p>
              </w:tc>
            </w:tr>
            <w:tr>
              <w:tc>
                <w:tcPr>
                  <w:tcW w:type="dxa" w:w="76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4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64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质保期</w:t>
                  </w:r>
                  <w:r>
                    <w:rPr>
                      <w:rFonts w:ascii="仿宋_GB2312" w:hAnsi="仿宋_GB2312" w:cs="仿宋_GB2312" w:eastAsia="仿宋_GB2312"/>
                      <w:sz w:val="21"/>
                      <w:color w:val="000000"/>
                    </w:rPr>
                    <w:t>≥3年，提供免费上门服务。</w:t>
                  </w:r>
                </w:p>
              </w:tc>
            </w:tr>
            <w:tr>
              <w:tc>
                <w:tcPr>
                  <w:tcW w:type="dxa" w:w="2554"/>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（四）高精度3D打印机（采购2台）</w:t>
                  </w:r>
                </w:p>
              </w:tc>
            </w:tr>
            <w:tr>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参数性质</w:t>
                  </w:r>
                </w:p>
              </w:tc>
              <w:tc>
                <w:tcPr>
                  <w:tcW w:type="dxa" w:w="1142"/>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序号</w:t>
                  </w:r>
                </w:p>
              </w:tc>
              <w:tc>
                <w:tcPr>
                  <w:tcW w:type="dxa" w:w="1215"/>
                  <w:gridSpan w:val="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200"/>
                    <w:jc w:val="center"/>
                  </w:pPr>
                  <w:r>
                    <w:rPr>
                      <w:rFonts w:ascii="仿宋_GB2312" w:hAnsi="仿宋_GB2312" w:cs="仿宋_GB2312" w:eastAsia="仿宋_GB2312"/>
                      <w:sz w:val="21"/>
                      <w:b/>
                      <w:color w:val="000000"/>
                    </w:rPr>
                    <w:t>技术参数与性能指标</w:t>
                  </w:r>
                </w:p>
              </w:tc>
            </w:tr>
            <w:tr>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00"/>
                    <w:jc w:val="both"/>
                  </w:pPr>
                  <w:r>
                    <w:rPr>
                      <w:rFonts w:ascii="仿宋_GB2312" w:hAnsi="仿宋_GB2312" w:cs="仿宋_GB2312" w:eastAsia="仿宋_GB2312"/>
                      <w:sz w:val="21"/>
                      <w:color w:val="000000"/>
                    </w:rPr>
                    <w:t>▲</w:t>
                  </w:r>
                </w:p>
              </w:tc>
              <w:tc>
                <w:tcPr>
                  <w:tcW w:type="dxa" w:w="114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21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技术类型：高精度</w:t>
                  </w:r>
                  <w:r>
                    <w:rPr>
                      <w:rFonts w:ascii="仿宋_GB2312" w:hAnsi="仿宋_GB2312" w:cs="仿宋_GB2312" w:eastAsia="仿宋_GB2312"/>
                      <w:sz w:val="21"/>
                      <w:color w:val="000000"/>
                    </w:rPr>
                    <w:t>3D 打印；机器外形尺寸：≥ 380*380*680mm；打印尺寸≥：223*126*240mm</w:t>
                  </w:r>
                </w:p>
              </w:tc>
            </w:tr>
            <w:tr>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00"/>
                    <w:jc w:val="center"/>
                  </w:pPr>
                </w:p>
              </w:tc>
              <w:tc>
                <w:tcPr>
                  <w:tcW w:type="dxa" w:w="114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121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XY 轴分辨率：≤16μm；Z  轴精度：≤10μm；Z 轴导轨：双轴心导轨+滚珠丝杠；层厚（可选）：0.01mm, 0.025mm, 0.035mm, 0.05mm, 0.1mm</w:t>
                  </w:r>
                </w:p>
              </w:tc>
            </w:tr>
            <w:tr>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00"/>
                    <w:jc w:val="center"/>
                  </w:pPr>
                </w:p>
              </w:tc>
              <w:tc>
                <w:tcPr>
                  <w:tcW w:type="dxa" w:w="114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121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打印最小孔直径：</w:t>
                  </w:r>
                  <w:r>
                    <w:rPr>
                      <w:rFonts w:ascii="仿宋_GB2312" w:hAnsi="仿宋_GB2312" w:cs="仿宋_GB2312" w:eastAsia="仿宋_GB2312"/>
                      <w:sz w:val="21"/>
                      <w:color w:val="000000"/>
                    </w:rPr>
                    <w:t>≤0.3mm；打印最小壁厚：≤0.2mm；打印速度：≥12-36mm 高度/小时；净重：不超过40kg；分辨率：14K,（13320*5120 像素）；触摸屏操控：5寸全彩触屏</w:t>
                  </w:r>
                </w:p>
              </w:tc>
            </w:tr>
            <w:tr>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00"/>
                    <w:jc w:val="center"/>
                  </w:pPr>
                </w:p>
              </w:tc>
              <w:tc>
                <w:tcPr>
                  <w:tcW w:type="dxa" w:w="114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121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光学系统：</w:t>
                  </w:r>
                  <w:r>
                    <w:rPr>
                      <w:rFonts w:ascii="仿宋_GB2312" w:hAnsi="仿宋_GB2312" w:cs="仿宋_GB2312" w:eastAsia="仿宋_GB2312"/>
                      <w:sz w:val="21"/>
                      <w:color w:val="000000"/>
                    </w:rPr>
                    <w:t>UV紫外线光源系统，光源均匀度90%以上；可打印整版模型不过爆不掉版</w:t>
                  </w:r>
                </w:p>
              </w:tc>
            </w:tr>
            <w:tr>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00"/>
                    <w:jc w:val="center"/>
                  </w:pPr>
                </w:p>
              </w:tc>
              <w:tc>
                <w:tcPr>
                  <w:tcW w:type="dxa" w:w="114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121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树脂槽：</w:t>
                  </w:r>
                  <w:r>
                    <w:rPr>
                      <w:rFonts w:ascii="仿宋_GB2312" w:hAnsi="仿宋_GB2312" w:cs="仿宋_GB2312" w:eastAsia="仿宋_GB2312"/>
                      <w:sz w:val="21"/>
                      <w:color w:val="000000"/>
                    </w:rPr>
                    <w:t>FEP 离型膜, 高性能铝合金外框；支撑生成模式：（可选）自动/手动 两种方式自由选择</w:t>
                  </w:r>
                </w:p>
              </w:tc>
            </w:tr>
            <w:tr>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00"/>
                    <w:jc w:val="center"/>
                  </w:pPr>
                </w:p>
              </w:tc>
              <w:tc>
                <w:tcPr>
                  <w:tcW w:type="dxa" w:w="114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121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输入文件格式：</w:t>
                  </w:r>
                  <w:r>
                    <w:rPr>
                      <w:rFonts w:ascii="仿宋_GB2312" w:hAnsi="仿宋_GB2312" w:cs="仿宋_GB2312" w:eastAsia="仿宋_GB2312"/>
                      <w:sz w:val="21"/>
                      <w:color w:val="000000"/>
                    </w:rPr>
                    <w:t>STL. /OBJ. /SLC. /DDEB. /DDWP；连接方式：WiFi / 网线 / USB</w:t>
                  </w:r>
                </w:p>
              </w:tc>
            </w:tr>
            <w:tr>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00"/>
                    <w:jc w:val="center"/>
                  </w:pPr>
                </w:p>
              </w:tc>
              <w:tc>
                <w:tcPr>
                  <w:tcW w:type="dxa" w:w="114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121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散热系统：静音散热系统；恒温系统：</w:t>
                  </w:r>
                  <w:r>
                    <w:rPr>
                      <w:rFonts w:ascii="仿宋_GB2312" w:hAnsi="仿宋_GB2312" w:cs="仿宋_GB2312" w:eastAsia="仿宋_GB2312"/>
                      <w:sz w:val="21"/>
                      <w:color w:val="000000"/>
                    </w:rPr>
                    <w:t>20-60度加温、恒温打印；脱机打印功能：支持脱机打印</w:t>
                  </w:r>
                </w:p>
              </w:tc>
            </w:tr>
            <w:tr>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00"/>
                    <w:jc w:val="center"/>
                  </w:pPr>
                </w:p>
              </w:tc>
              <w:tc>
                <w:tcPr>
                  <w:tcW w:type="dxa" w:w="114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121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树脂：可打印普通树脂、耐高温树脂（</w:t>
                  </w:r>
                  <w:r>
                    <w:rPr>
                      <w:rFonts w:ascii="仿宋_GB2312" w:hAnsi="仿宋_GB2312" w:cs="仿宋_GB2312" w:eastAsia="仿宋_GB2312"/>
                      <w:sz w:val="21"/>
                      <w:color w:val="000000"/>
                    </w:rPr>
                    <w:t>250度及以上）、人像树脂、可铸造树脂、可水洗树脂等, 兼容第三方树脂</w:t>
                  </w:r>
                </w:p>
              </w:tc>
            </w:tr>
            <w:tr>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00"/>
                    <w:jc w:val="center"/>
                  </w:pPr>
                </w:p>
              </w:tc>
              <w:tc>
                <w:tcPr>
                  <w:tcW w:type="dxa" w:w="114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p>
              </w:tc>
              <w:tc>
                <w:tcPr>
                  <w:tcW w:type="dxa" w:w="121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系统要求：能兼容</w:t>
                  </w:r>
                  <w:r>
                    <w:rPr>
                      <w:rFonts w:ascii="仿宋_GB2312" w:hAnsi="仿宋_GB2312" w:cs="仿宋_GB2312" w:eastAsia="仿宋_GB2312"/>
                      <w:sz w:val="21"/>
                      <w:color w:val="000000"/>
                    </w:rPr>
                    <w:t>Windows, Mac;供电需求：100-240V 50-60Hz  6A</w:t>
                  </w:r>
                </w:p>
              </w:tc>
            </w:tr>
            <w:tr>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00"/>
                    <w:jc w:val="center"/>
                  </w:pPr>
                </w:p>
              </w:tc>
              <w:tc>
                <w:tcPr>
                  <w:tcW w:type="dxa" w:w="114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121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每台配：离型膜</w:t>
                  </w:r>
                  <w:r>
                    <w:rPr>
                      <w:rFonts w:ascii="仿宋_GB2312" w:hAnsi="仿宋_GB2312" w:cs="仿宋_GB2312" w:eastAsia="仿宋_GB2312"/>
                      <w:sz w:val="21"/>
                      <w:color w:val="000000"/>
                    </w:rPr>
                    <w:t>1包，包括但不限于白色、灰色、黑色、红蜡水洗打印树脂各2桶</w:t>
                  </w:r>
                </w:p>
              </w:tc>
            </w:tr>
            <w:tr>
              <w:tc>
                <w:tcPr>
                  <w:tcW w:type="dxa" w:w="2554"/>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（五）工作台（采购15套）</w:t>
                  </w:r>
                </w:p>
              </w:tc>
            </w:tr>
            <w:tr>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参数性质</w:t>
                  </w:r>
                </w:p>
              </w:tc>
              <w:tc>
                <w:tcPr>
                  <w:tcW w:type="dxa" w:w="1142"/>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序号</w:t>
                  </w:r>
                </w:p>
              </w:tc>
              <w:tc>
                <w:tcPr>
                  <w:tcW w:type="dxa" w:w="1215"/>
                  <w:gridSpan w:val="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200"/>
                    <w:jc w:val="center"/>
                  </w:pPr>
                  <w:r>
                    <w:rPr>
                      <w:rFonts w:ascii="仿宋_GB2312" w:hAnsi="仿宋_GB2312" w:cs="仿宋_GB2312" w:eastAsia="仿宋_GB2312"/>
                      <w:sz w:val="21"/>
                      <w:b/>
                      <w:color w:val="000000"/>
                    </w:rPr>
                    <w:t>技术参数与性能指标</w:t>
                  </w:r>
                </w:p>
              </w:tc>
            </w:tr>
            <w:tr>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00"/>
                    <w:jc w:val="both"/>
                  </w:pPr>
                </w:p>
              </w:tc>
              <w:tc>
                <w:tcPr>
                  <w:tcW w:type="dxa" w:w="114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21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双人实训桌（需提供样品照片）：</w:t>
                  </w:r>
                  <w:r>
                    <w:rPr>
                      <w:rFonts w:ascii="仿宋_GB2312" w:hAnsi="仿宋_GB2312" w:cs="仿宋_GB2312" w:eastAsia="仿宋_GB2312"/>
                      <w:sz w:val="21"/>
                      <w:color w:val="000000"/>
                    </w:rPr>
                    <w:t>1）长 1200mm*宽 600mm*高 750mm</w:t>
                  </w:r>
                </w:p>
                <w:p>
                  <w:pPr>
                    <w:pStyle w:val="null3"/>
                    <w:jc w:val="both"/>
                  </w:pPr>
                  <w:r>
                    <w:rPr>
                      <w:rFonts w:ascii="仿宋_GB2312" w:hAnsi="仿宋_GB2312" w:cs="仿宋_GB2312" w:eastAsia="仿宋_GB2312"/>
                      <w:sz w:val="21"/>
                      <w:color w:val="000000"/>
                    </w:rPr>
                    <w:t>2）桌面采用 16mm 厚多层板外贴防火板，带穿线孔。</w:t>
                  </w:r>
                </w:p>
                <w:p>
                  <w:pPr>
                    <w:pStyle w:val="null3"/>
                    <w:jc w:val="both"/>
                  </w:pPr>
                  <w:r>
                    <w:rPr>
                      <w:rFonts w:ascii="仿宋_GB2312" w:hAnsi="仿宋_GB2312" w:cs="仿宋_GB2312" w:eastAsia="仿宋_GB2312"/>
                      <w:sz w:val="21"/>
                      <w:color w:val="000000"/>
                    </w:rPr>
                    <w:t>3）桌腿采用 20mm*40mm*0.6mm 方钢管，桌腿中间封板采用 0.6mm 钢板制作，折弯成型，留电脑位置，带穿线功能，双包结构，保证线不外漏，外面布局散热孔。</w:t>
                  </w:r>
                </w:p>
                <w:p>
                  <w:pPr>
                    <w:pStyle w:val="null3"/>
                    <w:jc w:val="both"/>
                  </w:pPr>
                  <w:r>
                    <w:rPr>
                      <w:rFonts w:ascii="仿宋_GB2312" w:hAnsi="仿宋_GB2312" w:cs="仿宋_GB2312" w:eastAsia="仿宋_GB2312"/>
                      <w:sz w:val="21"/>
                      <w:color w:val="000000"/>
                    </w:rPr>
                    <w:t>4）工艺采用激光切割、模具冲压、折弯、组焊接成型，喷涂、装配而成。焊接部分采用高标准熔接焊,确保表面平整光滑，焊接点牢固、无虚焊。整体表面经酸洗、水洗、磷化、水洗、钝化等后工作桌。</w:t>
                  </w:r>
                </w:p>
                <w:p>
                  <w:pPr>
                    <w:pStyle w:val="null3"/>
                    <w:jc w:val="both"/>
                  </w:pPr>
                  <w:r>
                    <w:rPr>
                      <w:rFonts w:ascii="仿宋_GB2312" w:hAnsi="仿宋_GB2312" w:cs="仿宋_GB2312" w:eastAsia="仿宋_GB2312"/>
                      <w:sz w:val="21"/>
                      <w:color w:val="000000"/>
                    </w:rPr>
                    <w:t>5）特点：宽大、健康环保材料、背板牢固结实、通气孔主机位、便捷穿线孔、圆润；边角防磕防碰、脚垫可调节</w:t>
                  </w:r>
                </w:p>
              </w:tc>
            </w:tr>
            <w:tr>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00"/>
                    <w:jc w:val="center"/>
                  </w:pPr>
                </w:p>
              </w:tc>
              <w:tc>
                <w:tcPr>
                  <w:tcW w:type="dxa" w:w="114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121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凳子</w:t>
                  </w:r>
                </w:p>
                <w:p>
                  <w:pPr>
                    <w:pStyle w:val="null3"/>
                    <w:jc w:val="both"/>
                  </w:pPr>
                  <w:r>
                    <w:rPr>
                      <w:rFonts w:ascii="仿宋_GB2312" w:hAnsi="仿宋_GB2312" w:cs="仿宋_GB2312" w:eastAsia="仿宋_GB2312"/>
                      <w:sz w:val="21"/>
                      <w:color w:val="000000"/>
                    </w:rPr>
                    <w:t>1）凳子规格：长 340*宽 240*高 450mm</w:t>
                  </w:r>
                </w:p>
                <w:p>
                  <w:pPr>
                    <w:pStyle w:val="null3"/>
                    <w:jc w:val="both"/>
                  </w:pPr>
                  <w:r>
                    <w:rPr>
                      <w:rFonts w:ascii="仿宋_GB2312" w:hAnsi="仿宋_GB2312" w:cs="仿宋_GB2312" w:eastAsia="仿宋_GB2312"/>
                      <w:sz w:val="21"/>
                      <w:color w:val="000000"/>
                    </w:rPr>
                    <w:t>2）采用优质钢管，表面经过除锈，磷化，静电喷塑；</w:t>
                  </w:r>
                </w:p>
                <w:p>
                  <w:pPr>
                    <w:pStyle w:val="null3"/>
                    <w:jc w:val="both"/>
                  </w:pPr>
                  <w:r>
                    <w:rPr>
                      <w:rFonts w:ascii="仿宋_GB2312" w:hAnsi="仿宋_GB2312" w:cs="仿宋_GB2312" w:eastAsia="仿宋_GB2312"/>
                      <w:sz w:val="21"/>
                      <w:color w:val="000000"/>
                    </w:rPr>
                    <w:t>3）基材：凳面采用实木多层板，厚度 2.5 公分；</w:t>
                  </w:r>
                </w:p>
                <w:p>
                  <w:pPr>
                    <w:pStyle w:val="null3"/>
                    <w:jc w:val="both"/>
                  </w:pPr>
                  <w:r>
                    <w:rPr>
                      <w:rFonts w:ascii="仿宋_GB2312" w:hAnsi="仿宋_GB2312" w:cs="仿宋_GB2312" w:eastAsia="仿宋_GB2312"/>
                      <w:sz w:val="21"/>
                      <w:color w:val="000000"/>
                    </w:rPr>
                    <w:t>4）封边：≥2mm厚PVC封边。</w:t>
                  </w:r>
                </w:p>
                <w:p>
                  <w:pPr>
                    <w:pStyle w:val="null3"/>
                    <w:jc w:val="both"/>
                  </w:pPr>
                  <w:r>
                    <w:rPr>
                      <w:rFonts w:ascii="仿宋_GB2312" w:hAnsi="仿宋_GB2312" w:cs="仿宋_GB2312" w:eastAsia="仿宋_GB2312"/>
                      <w:sz w:val="21"/>
                      <w:color w:val="000000"/>
                    </w:rPr>
                    <w:t>5）颜色与实训桌配套，每张实训桌配凳子2把。服务内容：</w:t>
                  </w:r>
                </w:p>
                <w:p>
                  <w:pPr>
                    <w:pStyle w:val="null3"/>
                    <w:jc w:val="both"/>
                  </w:pPr>
                  <w:r>
                    <w:rPr>
                      <w:rFonts w:ascii="仿宋_GB2312" w:hAnsi="仿宋_GB2312" w:cs="仿宋_GB2312" w:eastAsia="仿宋_GB2312"/>
                      <w:sz w:val="21"/>
                      <w:color w:val="000000"/>
                    </w:rPr>
                    <w:t>按采购方要求，在指定地点完成组装，保证使用正常。</w:t>
                  </w:r>
                </w:p>
              </w:tc>
            </w:tr>
            <w:tr>
              <w:tc>
                <w:tcPr>
                  <w:tcW w:type="dxa" w:w="2554"/>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color w:val="000000"/>
                    </w:rPr>
                    <w:t>（六）其他要求</w:t>
                  </w:r>
                </w:p>
                <w:p>
                  <w:pPr>
                    <w:pStyle w:val="null3"/>
                    <w:jc w:val="both"/>
                  </w:pPr>
                  <w:r>
                    <w:rPr>
                      <w:rFonts w:ascii="仿宋_GB2312" w:hAnsi="仿宋_GB2312" w:cs="仿宋_GB2312" w:eastAsia="仿宋_GB2312"/>
                      <w:sz w:val="21"/>
                      <w:color w:val="000000"/>
                    </w:rPr>
                    <w:t>1、安装调试按“交钥匙工程”标准实施，由中标方负责，包括但不限于供电线路、网线铺设。</w:t>
                  </w:r>
                </w:p>
                <w:p>
                  <w:pPr>
                    <w:pStyle w:val="null3"/>
                    <w:jc w:val="both"/>
                  </w:pPr>
                  <w:r>
                    <w:rPr>
                      <w:rFonts w:ascii="仿宋_GB2312" w:hAnsi="仿宋_GB2312" w:cs="仿宋_GB2312" w:eastAsia="仿宋_GB2312"/>
                      <w:sz w:val="21"/>
                      <w:color w:val="000000"/>
                    </w:rPr>
                    <w:t>2、提供培训计划，确保甲方人员能够正常使用设备，培训天数不少于7天。</w:t>
                  </w:r>
                </w:p>
              </w:tc>
            </w:tr>
            <w:tr>
              <w:tc>
                <w:tcPr>
                  <w:tcW w:type="dxa" w:w="2554"/>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color w:val="000000"/>
                    </w:rPr>
                    <w:t>注：①标“●”项开标时需投标人到场演示；</w:t>
                  </w:r>
                </w:p>
                <w:p>
                  <w:pPr>
                    <w:pStyle w:val="null3"/>
                    <w:ind w:firstLine="482"/>
                    <w:jc w:val="both"/>
                  </w:pPr>
                  <w:r>
                    <w:rPr>
                      <w:rFonts w:ascii="仿宋_GB2312" w:hAnsi="仿宋_GB2312" w:cs="仿宋_GB2312" w:eastAsia="仿宋_GB2312"/>
                      <w:sz w:val="21"/>
                      <w:b/>
                      <w:color w:val="000000"/>
                    </w:rPr>
                    <w:t>②标“</w:t>
                  </w:r>
                  <w:r>
                    <w:rPr>
                      <w:rFonts w:ascii="仿宋_GB2312" w:hAnsi="仿宋_GB2312" w:cs="仿宋_GB2312" w:eastAsia="仿宋_GB2312"/>
                      <w:sz w:val="21"/>
                      <w:color w:val="000000"/>
                    </w:rPr>
                    <w:t>▆</w:t>
                  </w:r>
                  <w:r>
                    <w:rPr>
                      <w:rFonts w:ascii="仿宋_GB2312" w:hAnsi="仿宋_GB2312" w:cs="仿宋_GB2312" w:eastAsia="仿宋_GB2312"/>
                      <w:sz w:val="21"/>
                      <w:b/>
                      <w:color w:val="000000"/>
                    </w:rPr>
                    <w:t>”项提供软件功能截图或官网截图或产品彩页等证明材料与之对应；</w:t>
                  </w:r>
                </w:p>
                <w:p>
                  <w:pPr>
                    <w:pStyle w:val="null3"/>
                    <w:ind w:firstLine="482"/>
                    <w:jc w:val="both"/>
                  </w:pPr>
                  <w:r>
                    <w:rPr>
                      <w:rFonts w:ascii="仿宋_GB2312" w:hAnsi="仿宋_GB2312" w:cs="仿宋_GB2312" w:eastAsia="仿宋_GB2312"/>
                      <w:sz w:val="21"/>
                      <w:b/>
                      <w:color w:val="000000"/>
                    </w:rPr>
                    <w:t>③标“▲”项需提供产品检测报告或宣传彩页或技术白皮书等证明材料与之对应；</w:t>
                  </w:r>
                </w:p>
                <w:p>
                  <w:pPr>
                    <w:pStyle w:val="null3"/>
                    <w:ind w:firstLine="482"/>
                    <w:jc w:val="both"/>
                  </w:pPr>
                  <w:r>
                    <w:rPr>
                      <w:rFonts w:ascii="仿宋_GB2312" w:hAnsi="仿宋_GB2312" w:cs="仿宋_GB2312" w:eastAsia="仿宋_GB2312"/>
                      <w:sz w:val="21"/>
                      <w:b/>
                      <w:color w:val="000000"/>
                    </w:rPr>
                    <w:t>④标“◑”项为政府强制采购节能产品，投标人应当提供国家确定的认证机构出具的、处于有效期之内的节能产品认证证书并加盖投标人公章，否则作无效响应处理；</w:t>
                  </w:r>
                </w:p>
                <w:p>
                  <w:pPr>
                    <w:pStyle w:val="null3"/>
                    <w:ind w:firstLine="482"/>
                    <w:jc w:val="both"/>
                  </w:pPr>
                  <w:r>
                    <w:rPr>
                      <w:rFonts w:ascii="仿宋_GB2312" w:hAnsi="仿宋_GB2312" w:cs="仿宋_GB2312" w:eastAsia="仿宋_GB2312"/>
                      <w:sz w:val="21"/>
                      <w:b/>
                      <w:color w:val="000000"/>
                    </w:rPr>
                    <w:t>⑤标“</w:t>
                  </w:r>
                  <w:r>
                    <w:rPr>
                      <w:rFonts w:ascii="仿宋_GB2312" w:hAnsi="仿宋_GB2312" w:cs="仿宋_GB2312" w:eastAsia="仿宋_GB2312"/>
                      <w:sz w:val="21"/>
                      <w:color w:val="000000"/>
                      <w:shd w:fill="FFFFFF" w:val="clear"/>
                    </w:rPr>
                    <w:t>◯</w:t>
                  </w:r>
                  <w:r>
                    <w:rPr>
                      <w:rFonts w:ascii="仿宋_GB2312" w:hAnsi="仿宋_GB2312" w:cs="仿宋_GB2312" w:eastAsia="仿宋_GB2312"/>
                      <w:sz w:val="21"/>
                      <w:b/>
                      <w:color w:val="000000"/>
                    </w:rPr>
                    <w:t>”项为环境标志产品，投标人需提供国家确定的认证机构出具的、处于有效期之内的环境标志产品认证证书并加盖投标人公章。</w:t>
                  </w:r>
                </w:p>
                <w:p>
                  <w:pPr>
                    <w:pStyle w:val="null3"/>
                    <w:ind w:firstLine="482"/>
                    <w:jc w:val="both"/>
                  </w:pPr>
                  <w:r>
                    <w:rPr>
                      <w:rFonts w:ascii="仿宋_GB2312" w:hAnsi="仿宋_GB2312" w:cs="仿宋_GB2312" w:eastAsia="仿宋_GB2312"/>
                      <w:sz w:val="21"/>
                      <w:b/>
                      <w:color w:val="000000"/>
                    </w:rPr>
                    <w:t>⑥标“◁”项为本项目核心产品。</w:t>
                  </w:r>
                </w:p>
                <w:p>
                  <w:pPr>
                    <w:pStyle w:val="null3"/>
                    <w:jc w:val="both"/>
                  </w:pPr>
                </w:p>
              </w:tc>
            </w:tr>
          </w:tbl>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jc w:val="left"/>
              <w:outlineLvl w:val="2"/>
            </w:pPr>
            <w:r>
              <w:rPr>
                <w:rFonts w:ascii="仿宋_GB2312" w:hAnsi="仿宋_GB2312" w:cs="仿宋_GB2312" w:eastAsia="仿宋_GB2312"/>
                <w:sz w:val="21"/>
                <w:b/>
                <w:color w:val="000000"/>
                <w:shd w:fill="FFFFFF" w:val="clear"/>
              </w:rPr>
              <w:t>二、</w:t>
            </w:r>
            <w:r>
              <w:rPr>
                <w:rFonts w:ascii="仿宋_GB2312" w:hAnsi="仿宋_GB2312" w:cs="仿宋_GB2312" w:eastAsia="仿宋_GB2312"/>
                <w:sz w:val="21"/>
                <w:b/>
                <w:color w:val="000000"/>
                <w:shd w:fill="FFFFFF" w:val="clear"/>
              </w:rPr>
              <w:t>商务要求（实质性响应要求，不接受负偏离）</w:t>
            </w:r>
          </w:p>
          <w:p>
            <w:pPr>
              <w:pStyle w:val="null3"/>
              <w:ind w:firstLine="480"/>
              <w:jc w:val="left"/>
            </w:pPr>
            <w:r>
              <w:rPr>
                <w:rFonts w:ascii="仿宋_GB2312" w:hAnsi="仿宋_GB2312" w:cs="仿宋_GB2312" w:eastAsia="仿宋_GB2312"/>
                <w:sz w:val="21"/>
                <w:color w:val="000000"/>
                <w:shd w:fill="FFFFFF" w:val="clear"/>
              </w:rPr>
              <w:t>1、</w:t>
            </w:r>
            <w:r>
              <w:rPr>
                <w:rFonts w:ascii="仿宋_GB2312" w:hAnsi="仿宋_GB2312" w:cs="仿宋_GB2312" w:eastAsia="仿宋_GB2312"/>
                <w:sz w:val="21"/>
                <w:color w:val="000000"/>
                <w:shd w:fill="FFFFFF" w:val="clear"/>
              </w:rPr>
              <w:t>交付期：合同签订后30日内交付。</w:t>
            </w:r>
          </w:p>
          <w:p>
            <w:pPr>
              <w:pStyle w:val="null3"/>
              <w:jc w:val="left"/>
              <w:outlineLvl w:val="3"/>
            </w:pPr>
            <w:r>
              <w:rPr>
                <w:rFonts w:ascii="仿宋_GB2312" w:hAnsi="仿宋_GB2312" w:cs="仿宋_GB2312" w:eastAsia="仿宋_GB2312"/>
                <w:sz w:val="21"/>
                <w:b/>
                <w:color w:val="000000"/>
                <w:shd w:fill="FFFFFF" w:val="clear"/>
              </w:rPr>
              <w:t>2</w:t>
            </w:r>
            <w:r>
              <w:rPr>
                <w:rFonts w:ascii="仿宋_GB2312" w:hAnsi="仿宋_GB2312" w:cs="仿宋_GB2312" w:eastAsia="仿宋_GB2312"/>
                <w:sz w:val="21"/>
                <w:b/>
                <w:color w:val="000000"/>
                <w:shd w:fill="FFFFFF" w:val="clear"/>
              </w:rPr>
              <w:t>、</w:t>
            </w:r>
            <w:r>
              <w:rPr>
                <w:rFonts w:ascii="仿宋_GB2312" w:hAnsi="仿宋_GB2312" w:cs="仿宋_GB2312" w:eastAsia="仿宋_GB2312"/>
                <w:sz w:val="21"/>
                <w:b/>
                <w:color w:val="000000"/>
                <w:shd w:fill="FFFFFF" w:val="clear"/>
              </w:rPr>
              <w:t>交货地点</w:t>
            </w:r>
            <w:r>
              <w:rPr>
                <w:rFonts w:ascii="仿宋_GB2312" w:hAnsi="仿宋_GB2312" w:cs="仿宋_GB2312" w:eastAsia="仿宋_GB2312"/>
                <w:sz w:val="21"/>
                <w:b/>
                <w:color w:val="000000"/>
                <w:shd w:fill="FFFFFF" w:val="clear"/>
              </w:rPr>
              <w:t>：</w:t>
            </w:r>
            <w:r>
              <w:rPr>
                <w:rFonts w:ascii="仿宋_GB2312" w:hAnsi="仿宋_GB2312" w:cs="仿宋_GB2312" w:eastAsia="仿宋_GB2312"/>
                <w:sz w:val="21"/>
                <w:b/>
                <w:color w:val="000000"/>
                <w:shd w:fill="FFFFFF" w:val="clear"/>
              </w:rPr>
              <w:t>采购人指定地点。</w:t>
            </w:r>
          </w:p>
          <w:p>
            <w:pPr>
              <w:pStyle w:val="null3"/>
              <w:jc w:val="left"/>
              <w:outlineLvl w:val="3"/>
            </w:pPr>
            <w:r>
              <w:rPr>
                <w:rFonts w:ascii="仿宋_GB2312" w:hAnsi="仿宋_GB2312" w:cs="仿宋_GB2312" w:eastAsia="仿宋_GB2312"/>
                <w:sz w:val="21"/>
                <w:b/>
                <w:color w:val="000000"/>
                <w:shd w:fill="FFFFFF" w:val="clear"/>
              </w:rPr>
              <w:t>3</w:t>
            </w:r>
            <w:r>
              <w:rPr>
                <w:rFonts w:ascii="仿宋_GB2312" w:hAnsi="仿宋_GB2312" w:cs="仿宋_GB2312" w:eastAsia="仿宋_GB2312"/>
                <w:sz w:val="21"/>
                <w:b/>
                <w:color w:val="000000"/>
                <w:shd w:fill="FFFFFF" w:val="clear"/>
              </w:rPr>
              <w:t>、</w:t>
            </w:r>
            <w:r>
              <w:rPr>
                <w:rFonts w:ascii="仿宋_GB2312" w:hAnsi="仿宋_GB2312" w:cs="仿宋_GB2312" w:eastAsia="仿宋_GB2312"/>
                <w:sz w:val="21"/>
                <w:b/>
                <w:color w:val="000000"/>
                <w:shd w:fill="FFFFFF" w:val="clear"/>
              </w:rPr>
              <w:t>支付方式</w:t>
            </w:r>
          </w:p>
          <w:p>
            <w:pPr>
              <w:pStyle w:val="null3"/>
              <w:ind w:firstLine="720"/>
              <w:jc w:val="left"/>
            </w:pPr>
            <w:r>
              <w:rPr>
                <w:rFonts w:ascii="仿宋_GB2312" w:hAnsi="仿宋_GB2312" w:cs="仿宋_GB2312" w:eastAsia="仿宋_GB2312"/>
                <w:sz w:val="21"/>
                <w:color w:val="000000"/>
                <w:shd w:fill="FFFFFF" w:val="clear"/>
              </w:rPr>
              <w:t>①</w:t>
            </w:r>
            <w:r>
              <w:rPr>
                <w:rFonts w:ascii="仿宋_GB2312" w:hAnsi="仿宋_GB2312" w:cs="仿宋_GB2312" w:eastAsia="仿宋_GB2312"/>
                <w:sz w:val="21"/>
                <w:color w:val="000000"/>
                <w:shd w:fill="FFFFFF" w:val="clear"/>
              </w:rPr>
              <w:t>进度款，验收合格投标人开具发票后，达到付款条件起25个工作日内，支付合同总金额的100.0%</w:t>
            </w:r>
          </w:p>
          <w:p>
            <w:pPr>
              <w:pStyle w:val="null3"/>
              <w:jc w:val="left"/>
              <w:outlineLvl w:val="3"/>
            </w:pPr>
            <w:r>
              <w:rPr>
                <w:rFonts w:ascii="仿宋_GB2312" w:hAnsi="仿宋_GB2312" w:cs="仿宋_GB2312" w:eastAsia="仿宋_GB2312"/>
                <w:sz w:val="21"/>
                <w:b/>
                <w:color w:val="000000"/>
                <w:shd w:fill="FFFFFF" w:val="clear"/>
              </w:rPr>
              <w:t>5</w:t>
            </w:r>
            <w:r>
              <w:rPr>
                <w:rFonts w:ascii="仿宋_GB2312" w:hAnsi="仿宋_GB2312" w:cs="仿宋_GB2312" w:eastAsia="仿宋_GB2312"/>
                <w:sz w:val="21"/>
                <w:b/>
                <w:color w:val="000000"/>
                <w:shd w:fill="FFFFFF" w:val="clear"/>
              </w:rPr>
              <w:t>、</w:t>
            </w:r>
            <w:r>
              <w:rPr>
                <w:rFonts w:ascii="仿宋_GB2312" w:hAnsi="仿宋_GB2312" w:cs="仿宋_GB2312" w:eastAsia="仿宋_GB2312"/>
                <w:sz w:val="21"/>
                <w:b/>
                <w:color w:val="000000"/>
                <w:shd w:fill="FFFFFF" w:val="clear"/>
              </w:rPr>
              <w:t>验收标准和方法</w:t>
            </w:r>
          </w:p>
          <w:p>
            <w:pPr>
              <w:pStyle w:val="null3"/>
              <w:ind w:firstLine="960"/>
              <w:jc w:val="left"/>
            </w:pPr>
            <w:r>
              <w:rPr>
                <w:rFonts w:ascii="仿宋_GB2312" w:hAnsi="仿宋_GB2312" w:cs="仿宋_GB2312" w:eastAsia="仿宋_GB2312"/>
                <w:sz w:val="21"/>
                <w:color w:val="000000"/>
                <w:shd w:fill="FFFFFF" w:val="clear"/>
              </w:rPr>
              <w:t>试运行1周后组织验收，按照招标文件、投标文件和合同约定进行验收。分期实施的采购项目，应当结合分期考核的情况，明确分期验收要求。货物类项目可以根据需要设置出厂检验、到货检验、安装调试检验、配套服务检验等多重验收环节。工程类项目的验收方案应当符合行业管理部门规定的标准、方法和内容。</w:t>
            </w:r>
          </w:p>
          <w:p>
            <w:pPr>
              <w:pStyle w:val="null3"/>
              <w:jc w:val="left"/>
              <w:outlineLvl w:val="3"/>
            </w:pPr>
            <w:r>
              <w:rPr>
                <w:rFonts w:ascii="仿宋_GB2312" w:hAnsi="仿宋_GB2312" w:cs="仿宋_GB2312" w:eastAsia="仿宋_GB2312"/>
                <w:sz w:val="21"/>
                <w:b/>
                <w:color w:val="000000"/>
                <w:shd w:fill="FFFFFF" w:val="clear"/>
              </w:rPr>
              <w:t>6</w:t>
            </w:r>
            <w:r>
              <w:rPr>
                <w:rFonts w:ascii="仿宋_GB2312" w:hAnsi="仿宋_GB2312" w:cs="仿宋_GB2312" w:eastAsia="仿宋_GB2312"/>
                <w:sz w:val="21"/>
                <w:b/>
                <w:color w:val="000000"/>
                <w:shd w:fill="FFFFFF" w:val="clear"/>
              </w:rPr>
              <w:t>、</w:t>
            </w:r>
            <w:r>
              <w:rPr>
                <w:rFonts w:ascii="仿宋_GB2312" w:hAnsi="仿宋_GB2312" w:cs="仿宋_GB2312" w:eastAsia="仿宋_GB2312"/>
                <w:sz w:val="21"/>
                <w:b/>
                <w:color w:val="000000"/>
                <w:shd w:fill="FFFFFF" w:val="clear"/>
              </w:rPr>
              <w:t>包装方式及运输</w:t>
            </w:r>
          </w:p>
          <w:p>
            <w:pPr>
              <w:pStyle w:val="null3"/>
              <w:ind w:firstLine="960"/>
              <w:jc w:val="left"/>
            </w:pPr>
            <w:r>
              <w:rPr>
                <w:rFonts w:ascii="仿宋_GB2312" w:hAnsi="仿宋_GB2312" w:cs="仿宋_GB2312" w:eastAsia="仿宋_GB2312"/>
                <w:sz w:val="21"/>
                <w:color w:val="000000"/>
                <w:shd w:fill="FFFFFF" w:val="clear"/>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jc w:val="left"/>
              <w:outlineLvl w:val="3"/>
            </w:pPr>
            <w:r>
              <w:rPr>
                <w:rFonts w:ascii="仿宋_GB2312" w:hAnsi="仿宋_GB2312" w:cs="仿宋_GB2312" w:eastAsia="仿宋_GB2312"/>
                <w:sz w:val="21"/>
                <w:b/>
                <w:color w:val="000000"/>
                <w:shd w:fill="FFFFFF" w:val="clear"/>
              </w:rPr>
              <w:t>7</w:t>
            </w:r>
            <w:r>
              <w:rPr>
                <w:rFonts w:ascii="仿宋_GB2312" w:hAnsi="仿宋_GB2312" w:cs="仿宋_GB2312" w:eastAsia="仿宋_GB2312"/>
                <w:sz w:val="21"/>
                <w:b/>
                <w:color w:val="000000"/>
                <w:shd w:fill="FFFFFF" w:val="clear"/>
              </w:rPr>
              <w:t>、</w:t>
            </w:r>
            <w:r>
              <w:rPr>
                <w:rFonts w:ascii="仿宋_GB2312" w:hAnsi="仿宋_GB2312" w:cs="仿宋_GB2312" w:eastAsia="仿宋_GB2312"/>
                <w:sz w:val="21"/>
                <w:b/>
                <w:color w:val="000000"/>
                <w:shd w:fill="FFFFFF" w:val="clear"/>
              </w:rPr>
              <w:t>质量保修范围和保修期</w:t>
            </w:r>
          </w:p>
          <w:p>
            <w:pPr>
              <w:pStyle w:val="null3"/>
              <w:ind w:firstLine="960"/>
              <w:jc w:val="left"/>
            </w:pPr>
            <w:r>
              <w:rPr>
                <w:rFonts w:ascii="仿宋_GB2312" w:hAnsi="仿宋_GB2312" w:cs="仿宋_GB2312" w:eastAsia="仿宋_GB2312"/>
                <w:sz w:val="21"/>
                <w:color w:val="000000"/>
                <w:shd w:fill="FFFFFF" w:val="clear"/>
              </w:rPr>
              <w:t>质保期：数控仿真实训系统提供终生免费升级，其他产品质保期≥3年。</w:t>
            </w:r>
          </w:p>
          <w:p>
            <w:pPr>
              <w:pStyle w:val="null3"/>
              <w:jc w:val="left"/>
              <w:outlineLvl w:val="3"/>
            </w:pPr>
            <w:r>
              <w:rPr>
                <w:rFonts w:ascii="仿宋_GB2312" w:hAnsi="仿宋_GB2312" w:cs="仿宋_GB2312" w:eastAsia="仿宋_GB2312"/>
                <w:sz w:val="21"/>
                <w:b/>
                <w:color w:val="000000"/>
                <w:shd w:fill="FFFFFF" w:val="clear"/>
              </w:rPr>
              <w:t>8</w:t>
            </w:r>
            <w:r>
              <w:rPr>
                <w:rFonts w:ascii="仿宋_GB2312" w:hAnsi="仿宋_GB2312" w:cs="仿宋_GB2312" w:eastAsia="仿宋_GB2312"/>
                <w:sz w:val="21"/>
                <w:b/>
                <w:color w:val="000000"/>
                <w:shd w:fill="FFFFFF" w:val="clear"/>
              </w:rPr>
              <w:t>、</w:t>
            </w:r>
            <w:r>
              <w:rPr>
                <w:rFonts w:ascii="仿宋_GB2312" w:hAnsi="仿宋_GB2312" w:cs="仿宋_GB2312" w:eastAsia="仿宋_GB2312"/>
                <w:sz w:val="21"/>
                <w:b/>
                <w:color w:val="000000"/>
                <w:shd w:fill="FFFFFF" w:val="clear"/>
              </w:rPr>
              <w:t>违约责任与解决争议的方法</w:t>
            </w:r>
          </w:p>
          <w:p>
            <w:pPr>
              <w:pStyle w:val="null3"/>
              <w:ind w:firstLine="960"/>
              <w:jc w:val="left"/>
            </w:pPr>
            <w:r>
              <w:rPr>
                <w:rFonts w:ascii="仿宋_GB2312" w:hAnsi="仿宋_GB2312" w:cs="仿宋_GB2312" w:eastAsia="仿宋_GB2312"/>
                <w:sz w:val="21"/>
                <w:color w:val="000000"/>
                <w:shd w:fill="FFFFFF" w:val="clear"/>
              </w:rPr>
              <w:t>乙方未全面履行合同义务或者发生违约，甲方有权终止合同，依法向乙方进行经济索赔，并报请政府采购监督管理机关依法进行相应的行政处罚。甲方违约的，应当赔偿给乙方造成的经济损失。</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交付期：合同签订后30日内交付。</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进度款，验收合格投标人开具发票后，达到付款条件起25个工作日内，支付合同总金额的100.0%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试运行1周后组织验收，按照招标文件、投标文件和合同约定进行验收。分期实施的采购项目，应当结合分期考核的情况，明确分期验收要求。货物类项目可以根据需要设置出厂检验、到货检验、安装调试检验、配套服务检验等多重验收环节。工程类项目的验收方案应当符合行业管理部门规定的标准、方法和内容。</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质保期：数控仿真实训系统提供终生免费升级，其他产品质保期≥3年。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乙方未全面履行合同义务或者发生违约，甲方有权终止合同，依法向乙方进行经济索赔，并报请政府采购监督管理机关依法进行相应的行政处罚。甲方违约的，应当赔偿给乙方造成的经济损失。</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中标人在成交结果发布后3个工作日内向代理机构提交纸质版响应文件以便于存档，响应文件正本1份，副本2份，电子版文件2份（以U盘为载体，电子版内容为签字盖章扫描后的PDF版本响应文件）。纸质响应文件均须A4纸打印，分别各自装订成册。线下递交响应文件地点：汉中市汉台区西一环路蓝天御苑小区商铺二层门面房南侧。 2、支持本国产业政策：依据《国务院办公厅关于在政府采购中实施本国产品标准及相关政策的通知》和《陕西省财政厅-关于在政府采购活动中实施本国产品标准及相关政策的通知》（陕财办采〔2026〕2号）等文件。 3、如招标文件中融资相关内容与新政策要求有出入，按照最新要求执行。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投标人需在项目电子化交易系统中按要求上传《汉中市政府采购供应商资格承诺函》并进行电子签章。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投标人为具有独立承担民事责任能力的企业法人、负责人或其他组织或自然人，并出具有效的营业执照或证明文件或自然人的身份证明。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应具有良好的商业信誉和健全的财务会计制度、具有履行合同所必需的设备和专业技术能力、具有依法缴纳税收和社会保障金的良好记录、参加本项目采购活动前三年内无重大违法活动记录，在信用中国网站未列入“失信被执行人”、“重大税收违法案件当事人名单”、在中国政府采购网未列入“政府采购严重违法失信行为记录名单”</w:t>
            </w:r>
          </w:p>
        </w:tc>
        <w:tc>
          <w:tcPr>
            <w:tcW w:type="dxa" w:w="3322"/>
          </w:tcPr>
          <w:p>
            <w:pPr>
              <w:pStyle w:val="null3"/>
            </w:pPr>
            <w:r>
              <w:rPr>
                <w:rFonts w:ascii="仿宋_GB2312" w:hAnsi="仿宋_GB2312" w:cs="仿宋_GB2312" w:eastAsia="仿宋_GB2312"/>
              </w:rPr>
              <w:t>投标人提供《汉中市政府采购投标人资格承诺函》。</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投标人应授权合法的人员参加本项目投标活动全过程</w:t>
            </w:r>
          </w:p>
        </w:tc>
        <w:tc>
          <w:tcPr>
            <w:tcW w:type="dxa" w:w="3322"/>
          </w:tcPr>
          <w:p>
            <w:pPr>
              <w:pStyle w:val="null3"/>
            </w:pPr>
            <w:r>
              <w:rPr>
                <w:rFonts w:ascii="仿宋_GB2312" w:hAnsi="仿宋_GB2312" w:cs="仿宋_GB2312" w:eastAsia="仿宋_GB2312"/>
              </w:rPr>
              <w:t>法定代表人直接参加投标活动的，应出具法定代表人证明书及法定代表人合法有效的身份证扫描件，且应与营业执照上信息一致；法定代表人授权代表参加投标活动的，应出具法定代表人证明书、法定代表人授权书及授权代表合法有效的身份证扫描件。</w:t>
            </w:r>
          </w:p>
        </w:tc>
        <w:tc>
          <w:tcPr>
            <w:tcW w:type="dxa" w:w="1661"/>
          </w:tcPr>
          <w:p>
            <w:pPr>
              <w:pStyle w:val="null3"/>
            </w:pPr>
            <w:r>
              <w:rPr>
                <w:rFonts w:ascii="仿宋_GB2312" w:hAnsi="仿宋_GB2312" w:cs="仿宋_GB2312" w:eastAsia="仿宋_GB2312"/>
              </w:rPr>
              <w:t>投标人应提交的相关资格证明材料</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开标一览表 本国产品说明 中小企业声明函 中国境内生产的组件成本核算基本规则 商务要求响应表 政府强制采购产品明细表 环境标志产品明细表 投标人应提交的相关资格证明材料 客观响应 技术参数偏离表 主观响应 投标函 残疾人福利性单位声明函 产品分项报价表 标的清单 关于符合本国产品标准的声明函 投标文件封面 其他材料及供应商认为有必要说明、阐述的事项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开标一览表 产品分项报价表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政府强制采购产品</w:t>
            </w:r>
          </w:p>
        </w:tc>
        <w:tc>
          <w:tcPr>
            <w:tcW w:type="dxa" w:w="3322"/>
          </w:tcPr>
          <w:p>
            <w:pPr>
              <w:pStyle w:val="null3"/>
            </w:pPr>
            <w:r>
              <w:rPr>
                <w:rFonts w:ascii="仿宋_GB2312" w:hAnsi="仿宋_GB2312" w:cs="仿宋_GB2312" w:eastAsia="仿宋_GB2312"/>
              </w:rPr>
              <w:t>1、属于《节能产品政府采购品目清单》中政府强制采购产品的，投标人应当提供国家确定的认证机构出具的、处于有效期之内的节能产品认证证书，否则作无效响应处理。 2、属于政府强制采购产品不填报的，作无效响应处理。</w:t>
            </w:r>
          </w:p>
        </w:tc>
        <w:tc>
          <w:tcPr>
            <w:tcW w:type="dxa" w:w="1661"/>
          </w:tcPr>
          <w:p>
            <w:pPr>
              <w:pStyle w:val="null3"/>
            </w:pPr>
            <w:r>
              <w:rPr>
                <w:rFonts w:ascii="仿宋_GB2312" w:hAnsi="仿宋_GB2312" w:cs="仿宋_GB2312" w:eastAsia="仿宋_GB2312"/>
              </w:rPr>
              <w:t>政府强制采购产品明细表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商务要求响应表</w:t>
            </w:r>
          </w:p>
        </w:tc>
        <w:tc>
          <w:tcPr>
            <w:tcW w:type="dxa" w:w="3322"/>
          </w:tcPr>
          <w:p>
            <w:pPr>
              <w:pStyle w:val="null3"/>
            </w:pPr>
            <w:r>
              <w:rPr>
                <w:rFonts w:ascii="仿宋_GB2312" w:hAnsi="仿宋_GB2312" w:cs="仿宋_GB2312" w:eastAsia="仿宋_GB2312"/>
              </w:rPr>
              <w:t>符合招标文件要求及给出的格式填写要求</w:t>
            </w:r>
          </w:p>
        </w:tc>
        <w:tc>
          <w:tcPr>
            <w:tcW w:type="dxa" w:w="1661"/>
          </w:tcPr>
          <w:p>
            <w:pPr>
              <w:pStyle w:val="null3"/>
            </w:pPr>
            <w:r>
              <w:rPr>
                <w:rFonts w:ascii="仿宋_GB2312" w:hAnsi="仿宋_GB2312" w:cs="仿宋_GB2312" w:eastAsia="仿宋_GB2312"/>
              </w:rPr>
              <w:t>商务要求响应表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产品分项报价表</w:t>
            </w:r>
          </w:p>
        </w:tc>
        <w:tc>
          <w:tcPr>
            <w:tcW w:type="dxa" w:w="3322"/>
          </w:tcPr>
          <w:p>
            <w:pPr>
              <w:pStyle w:val="null3"/>
            </w:pPr>
            <w:r>
              <w:rPr>
                <w:rFonts w:ascii="仿宋_GB2312" w:hAnsi="仿宋_GB2312" w:cs="仿宋_GB2312" w:eastAsia="仿宋_GB2312"/>
              </w:rPr>
              <w:t>符合招标文件给出的格式要求</w:t>
            </w:r>
          </w:p>
        </w:tc>
        <w:tc>
          <w:tcPr>
            <w:tcW w:type="dxa" w:w="1661"/>
          </w:tcPr>
          <w:p>
            <w:pPr>
              <w:pStyle w:val="null3"/>
            </w:pPr>
            <w:r>
              <w:rPr>
                <w:rFonts w:ascii="仿宋_GB2312" w:hAnsi="仿宋_GB2312" w:cs="仿宋_GB2312" w:eastAsia="仿宋_GB2312"/>
              </w:rPr>
              <w:t>产品分项报价表</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现场演示</w:t>
            </w:r>
          </w:p>
        </w:tc>
        <w:tc>
          <w:tcPr>
            <w:tcW w:type="dxa" w:w="2492"/>
          </w:tcPr>
          <w:p>
            <w:pPr>
              <w:pStyle w:val="null3"/>
            </w:pPr>
            <w:r>
              <w:rPr>
                <w:rFonts w:ascii="仿宋_GB2312" w:hAnsi="仿宋_GB2312" w:cs="仿宋_GB2312" w:eastAsia="仿宋_GB2312"/>
              </w:rPr>
              <w:t>①标“●”技术参数需投标人现场演示，演示环境自行搭建，设备自带，投标人应使用真实系统或视频文件进行现场演示，不接受 PPT、截图、静态页面等形式进行演示。演示时间≤20 分钟。 ②完全响应技术参数全部业务需求，得6分；覆盖70% 及以上需求得4分；覆盖不足70%，少量功能仅文字说明未实操演示，得 2 分；覆盖场景不足 70%，核心业务流程缺失，得 0 分。 演示内容与本项目采购无关、展示其他行业无关软件或未提供不得分。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客观响应</w:t>
            </w:r>
          </w:p>
        </w:tc>
      </w:tr>
      <w:tr>
        <w:tc>
          <w:tcPr>
            <w:tcW w:type="dxa" w:w="831"/>
            <w:vMerge/>
          </w:tcPr>
          <w:p/>
        </w:tc>
        <w:tc>
          <w:tcPr>
            <w:tcW w:type="dxa" w:w="1661"/>
          </w:tcPr>
          <w:p>
            <w:pPr>
              <w:pStyle w:val="null3"/>
            </w:pPr>
            <w:r>
              <w:rPr>
                <w:rFonts w:ascii="仿宋_GB2312" w:hAnsi="仿宋_GB2312" w:cs="仿宋_GB2312" w:eastAsia="仿宋_GB2312"/>
              </w:rPr>
              <w:t>技术参数响应</w:t>
            </w:r>
          </w:p>
        </w:tc>
        <w:tc>
          <w:tcPr>
            <w:tcW w:type="dxa" w:w="2492"/>
          </w:tcPr>
          <w:p>
            <w:pPr>
              <w:pStyle w:val="null3"/>
            </w:pPr>
            <w:r>
              <w:rPr>
                <w:rFonts w:ascii="仿宋_GB2312" w:hAnsi="仿宋_GB2312" w:cs="仿宋_GB2312" w:eastAsia="仿宋_GB2312"/>
              </w:rPr>
              <w:t>①标“▆”项技术参数需提供软件功能截图或官网截图或产品彩页等证明材料与之对应，提供1项得3分，最高得9分，此项不提供不得分； ②标“▲”项技术参数需提供产品检测报告或宣传彩页或技术白皮书等证明材料与之对应，提供1项得3分，最高得15分，此项不提供不得分.</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技术参数偏离表</w:t>
            </w:r>
          </w:p>
        </w:tc>
      </w:tr>
      <w:tr>
        <w:tc>
          <w:tcPr>
            <w:tcW w:type="dxa" w:w="831"/>
            <w:vMerge/>
          </w:tcPr>
          <w:p/>
        </w:tc>
        <w:tc>
          <w:tcPr>
            <w:tcW w:type="dxa" w:w="1661"/>
          </w:tcPr>
          <w:p>
            <w:pPr>
              <w:pStyle w:val="null3"/>
            </w:pPr>
            <w:r>
              <w:rPr>
                <w:rFonts w:ascii="仿宋_GB2312" w:hAnsi="仿宋_GB2312" w:cs="仿宋_GB2312" w:eastAsia="仿宋_GB2312"/>
              </w:rPr>
              <w:t>环境标志产品</w:t>
            </w:r>
          </w:p>
        </w:tc>
        <w:tc>
          <w:tcPr>
            <w:tcW w:type="dxa" w:w="2492"/>
          </w:tcPr>
          <w:p>
            <w:pPr>
              <w:pStyle w:val="null3"/>
            </w:pPr>
            <w:r>
              <w:rPr>
                <w:rFonts w:ascii="仿宋_GB2312" w:hAnsi="仿宋_GB2312" w:cs="仿宋_GB2312" w:eastAsia="仿宋_GB2312"/>
              </w:rPr>
              <w:t>标“◯”项为环境标志产品，需提供国家确定的认证机构出具的、处于有效期之内的环境标志产品认证证书并加盖投标人公章，提供1项得2分，最高得4分，此项不提供不得分。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环境标志产品明细表</w:t>
            </w:r>
          </w:p>
        </w:tc>
      </w:tr>
      <w:tr>
        <w:tc>
          <w:tcPr>
            <w:tcW w:type="dxa" w:w="831"/>
            <w:vMerge/>
          </w:tcPr>
          <w:p/>
        </w:tc>
        <w:tc>
          <w:tcPr>
            <w:tcW w:type="dxa" w:w="1661"/>
          </w:tcPr>
          <w:p>
            <w:pPr>
              <w:pStyle w:val="null3"/>
            </w:pPr>
            <w:r>
              <w:rPr>
                <w:rFonts w:ascii="仿宋_GB2312" w:hAnsi="仿宋_GB2312" w:cs="仿宋_GB2312" w:eastAsia="仿宋_GB2312"/>
              </w:rPr>
              <w:t>类似项目业绩</w:t>
            </w:r>
          </w:p>
        </w:tc>
        <w:tc>
          <w:tcPr>
            <w:tcW w:type="dxa" w:w="2492"/>
          </w:tcPr>
          <w:p>
            <w:pPr>
              <w:pStyle w:val="null3"/>
            </w:pPr>
            <w:r>
              <w:rPr>
                <w:rFonts w:ascii="仿宋_GB2312" w:hAnsi="仿宋_GB2312" w:cs="仿宋_GB2312" w:eastAsia="仿宋_GB2312"/>
              </w:rPr>
              <w:t>一、评审内容：投标人或拟供产品制造厂商提供2021年1月1日至今类似项目业绩。 二、赋分标准： 每提供1份得1分，最高得4分。无此项内容不得分。（注：业绩证明材料以中标（成交）通知书或合同协议书为准，磋商响应文件中附中标（成交）通知书或合同协议书扫描件。）</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客观响应</w:t>
            </w:r>
          </w:p>
        </w:tc>
      </w:tr>
      <w:tr>
        <w:tc>
          <w:tcPr>
            <w:tcW w:type="dxa" w:w="831"/>
            <w:vMerge/>
          </w:tcPr>
          <w:p/>
        </w:tc>
        <w:tc>
          <w:tcPr>
            <w:tcW w:type="dxa" w:w="1661"/>
          </w:tcPr>
          <w:p>
            <w:pPr>
              <w:pStyle w:val="null3"/>
            </w:pPr>
            <w:r>
              <w:rPr>
                <w:rFonts w:ascii="仿宋_GB2312" w:hAnsi="仿宋_GB2312" w:cs="仿宋_GB2312" w:eastAsia="仿宋_GB2312"/>
              </w:rPr>
              <w:t>核心产品来源渠道</w:t>
            </w:r>
          </w:p>
        </w:tc>
        <w:tc>
          <w:tcPr>
            <w:tcW w:type="dxa" w:w="2492"/>
          </w:tcPr>
          <w:p>
            <w:pPr>
              <w:pStyle w:val="null3"/>
            </w:pPr>
            <w:r>
              <w:rPr>
                <w:rFonts w:ascii="仿宋_GB2312" w:hAnsi="仿宋_GB2312" w:cs="仿宋_GB2312" w:eastAsia="仿宋_GB2312"/>
              </w:rPr>
              <w:t>投标人需提供核心产品合法来源渠道证明，授权或销售协议等，提供得6分，未提供不得分。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客观响应</w:t>
            </w:r>
          </w:p>
        </w:tc>
      </w:tr>
      <w:tr>
        <w:tc>
          <w:tcPr>
            <w:tcW w:type="dxa" w:w="831"/>
            <w:vMerge/>
          </w:tcPr>
          <w:p/>
        </w:tc>
        <w:tc>
          <w:tcPr>
            <w:tcW w:type="dxa" w:w="1661"/>
          </w:tcPr>
          <w:p>
            <w:pPr>
              <w:pStyle w:val="null3"/>
            </w:pPr>
            <w:r>
              <w:rPr>
                <w:rFonts w:ascii="仿宋_GB2312" w:hAnsi="仿宋_GB2312" w:cs="仿宋_GB2312" w:eastAsia="仿宋_GB2312"/>
              </w:rPr>
              <w:t>核心产品要求</w:t>
            </w:r>
          </w:p>
        </w:tc>
        <w:tc>
          <w:tcPr>
            <w:tcW w:type="dxa" w:w="2492"/>
          </w:tcPr>
          <w:p>
            <w:pPr>
              <w:pStyle w:val="null3"/>
            </w:pPr>
            <w:r>
              <w:rPr>
                <w:rFonts w:ascii="仿宋_GB2312" w:hAnsi="仿宋_GB2312" w:cs="仿宋_GB2312" w:eastAsia="仿宋_GB2312"/>
              </w:rPr>
              <w:t>所投产品中核心产品，投标人或拟供产品制造厂商近五年来，具有省级及以上技能大赛技术支持经验，每提供一项技能大赛支持经验得2分，最高得6分。以支持比赛相关通知、文件、证明等材料为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客观响应</w:t>
            </w:r>
          </w:p>
        </w:tc>
      </w:tr>
      <w:tr>
        <w:tc>
          <w:tcPr>
            <w:tcW w:type="dxa" w:w="831"/>
            <w:vMerge/>
          </w:tcPr>
          <w:p/>
        </w:tc>
        <w:tc>
          <w:tcPr>
            <w:tcW w:type="dxa" w:w="1661"/>
          </w:tcPr>
          <w:p>
            <w:pPr>
              <w:pStyle w:val="null3"/>
            </w:pPr>
            <w:r>
              <w:rPr>
                <w:rFonts w:ascii="仿宋_GB2312" w:hAnsi="仿宋_GB2312" w:cs="仿宋_GB2312" w:eastAsia="仿宋_GB2312"/>
              </w:rPr>
              <w:t>项目供货方案</w:t>
            </w:r>
          </w:p>
        </w:tc>
        <w:tc>
          <w:tcPr>
            <w:tcW w:type="dxa" w:w="2492"/>
          </w:tcPr>
          <w:p>
            <w:pPr>
              <w:pStyle w:val="null3"/>
            </w:pPr>
            <w:r>
              <w:rPr>
                <w:rFonts w:ascii="仿宋_GB2312" w:hAnsi="仿宋_GB2312" w:cs="仿宋_GB2312" w:eastAsia="仿宋_GB2312"/>
              </w:rPr>
              <w:t>一、评审内容 投标人针对本项目制定详细、具体的项目供货方案： ①订货、供货组织安排及对接运输、②货物质量保证及人员、物力调配安排、③设备安装调试、④交货验收。 二、赋分标准 1、完整性：对上述各项内容均有描述，得2分；每缺1项扣0.5分，扣完为止。此项不提供不得分。 2、针对性：上述各项内容针对性强，每项内容得1分；针对性一般，每项内容得0.5分；缺乏针对性，每项内容得0分。此项不提供不得分。 3、可实施性：上述各项内容可实施性强，每项内容得1分；可实施性一般，每项内容得0.5分；缺乏可实施性，每项内容得0分。此项不提供不得分。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主观响应</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一、评审内容 投标人针对本项目制定详细、具体的售后服务方案：①售后服务范围及响应时间、②故障处理及补救措施、③备品备件准备 、④售后服务网点及售后服务人员安排。二、赋分标准 1、完整性：上述各项内容均有描述，得2分；每缺1项扣0.5分，扣完为止。此项不提供不得分。 2、针对性：上述各项内容针对性强，每项内容得1分；针对性一般，每项内容得0.5分；缺乏针对性，每项内容得0分。此项不提供不得分。 3、可实施性：上述各项内容可实施性强，每项内容得1分；可实施性一般，每项内容得0.5分；缺乏可实施性，每项内容得0分。此项不提供不得分。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主观响应</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（1）投标（响应）报价低于全部通过符合性审查供应商投标（响应）报价平均值65%的，即投标（响应）报价&lt;全部通过符合性审查供应商投标（响应）报价平均值×65%。 （2）投标（响应）报价低于通过符合性审查且报价次低供应商投标（响应）报价65%的，即投标（响应）报价&lt;通过符合性审查且报价次低供应商投标（响应）报价×65%。 （3）投标（响应）报价低于最高限价65%的，即投标（响应）报价&lt;最高限价×65%。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产品分项报价表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①价格分统一采用低价优先法得算，即满足招标文件要求且报价最低的报价为评标基准价，其价格分为满分。其他投标人的价格分统一按照下列公式得算： 报价得分=(评标基准价／投标报价)×30 得算分数时四舍五入取小数点后两位。 注：如投标人为小微企业、监狱企业、福利企业的，价格给予10%的扣除，并用扣除后的价格参与评标。②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产品分项报价表</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本国产品说明</w:t>
            </w:r>
          </w:p>
          <w:p>
            <w:pPr>
              <w:pStyle w:val="null3"/>
            </w:pPr>
            <w:r>
              <w:rPr>
                <w:rFonts w:ascii="仿宋_GB2312" w:hAnsi="仿宋_GB2312" w:cs="仿宋_GB2312" w:eastAsia="仿宋_GB2312"/>
              </w:rPr>
              <w:t>中国境内生产的组件成本核算基本规则</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详见附件：产品分项报价表</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详见附件：政府强制采购产品明细表</w:t>
      </w:r>
    </w:p>
    <w:p>
      <w:pPr>
        <w:pStyle w:val="null3"/>
        <w:ind w:firstLine="960"/>
      </w:pPr>
      <w:r>
        <w:rPr>
          <w:rFonts w:ascii="仿宋_GB2312" w:hAnsi="仿宋_GB2312" w:cs="仿宋_GB2312" w:eastAsia="仿宋_GB2312"/>
        </w:rPr>
        <w:t>详见附件：环境标志产品明细表</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详见附件：技术参数偏离表</w:t>
      </w:r>
    </w:p>
    <w:p>
      <w:pPr>
        <w:pStyle w:val="null3"/>
        <w:ind w:firstLine="960"/>
      </w:pPr>
      <w:r>
        <w:rPr>
          <w:rFonts w:ascii="仿宋_GB2312" w:hAnsi="仿宋_GB2312" w:cs="仿宋_GB2312" w:eastAsia="仿宋_GB2312"/>
        </w:rPr>
        <w:t>详见附件：商务要求响应表</w:t>
      </w:r>
    </w:p>
    <w:p>
      <w:pPr>
        <w:pStyle w:val="null3"/>
        <w:ind w:firstLine="960"/>
      </w:pPr>
      <w:r>
        <w:rPr>
          <w:rFonts w:ascii="仿宋_GB2312" w:hAnsi="仿宋_GB2312" w:cs="仿宋_GB2312" w:eastAsia="仿宋_GB2312"/>
        </w:rPr>
        <w:t>详见附件：客观响应</w:t>
      </w:r>
    </w:p>
    <w:p>
      <w:pPr>
        <w:pStyle w:val="null3"/>
        <w:ind w:firstLine="960"/>
      </w:pPr>
      <w:r>
        <w:rPr>
          <w:rFonts w:ascii="仿宋_GB2312" w:hAnsi="仿宋_GB2312" w:cs="仿宋_GB2312" w:eastAsia="仿宋_GB2312"/>
        </w:rPr>
        <w:t>详见附件：主观响应</w:t>
      </w:r>
    </w:p>
    <w:p>
      <w:pPr>
        <w:pStyle w:val="null3"/>
        <w:ind w:firstLine="960"/>
      </w:pPr>
      <w:r>
        <w:rPr>
          <w:rFonts w:ascii="仿宋_GB2312" w:hAnsi="仿宋_GB2312" w:cs="仿宋_GB2312" w:eastAsia="仿宋_GB2312"/>
        </w:rPr>
        <w:t>详见附件：其他材料及供应商认为有必要说明、阐述的事项</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