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F82C54">
      <w:pPr>
        <w:pStyle w:val="4"/>
        <w:numPr>
          <w:ilvl w:val="0"/>
          <w:numId w:val="0"/>
        </w:numPr>
        <w:jc w:val="center"/>
        <w:rPr>
          <w:rFonts w:hint="eastAsia" w:asciiTheme="minorEastAsia" w:hAnsiTheme="minorEastAsia" w:eastAsiaTheme="minorEastAsia" w:cstheme="minorEastAsia"/>
          <w:b/>
          <w:bCs/>
          <w:color w:val="000000" w:themeColor="text1"/>
          <w:sz w:val="36"/>
          <w:szCs w:val="36"/>
          <w14:textFill>
            <w14:solidFill>
              <w14:schemeClr w14:val="tx1"/>
            </w14:solidFill>
          </w14:textFill>
        </w:rPr>
      </w:pPr>
      <w:r>
        <w:rPr>
          <w:rFonts w:hint="eastAsia" w:asciiTheme="minorEastAsia" w:hAnsiTheme="minorEastAsia" w:eastAsiaTheme="minorEastAsia" w:cstheme="minorEastAsia"/>
          <w:b/>
          <w:bCs/>
          <w:color w:val="000000" w:themeColor="text1"/>
          <w:sz w:val="36"/>
          <w:szCs w:val="36"/>
          <w14:textFill>
            <w14:solidFill>
              <w14:schemeClr w14:val="tx1"/>
            </w14:solidFill>
          </w14:textFill>
        </w:rPr>
        <w:t>采购内容及要求</w:t>
      </w:r>
    </w:p>
    <w:p w14:paraId="3375B963">
      <w:pPr>
        <w:pStyle w:val="4"/>
        <w:numPr>
          <w:ilvl w:val="0"/>
          <w:numId w:val="0"/>
        </w:numPr>
        <w:jc w:val="center"/>
        <w:rPr>
          <w:rFonts w:hint="eastAsia" w:asciiTheme="minorEastAsia" w:hAnsiTheme="minorEastAsia" w:eastAsiaTheme="minorEastAsia" w:cstheme="minorEastAsia"/>
          <w:b/>
          <w:bCs/>
          <w:color w:val="000000" w:themeColor="text1"/>
          <w:sz w:val="28"/>
          <w:szCs w:val="28"/>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8"/>
          <w:szCs w:val="28"/>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t>以下内容由采购单位提供</w:t>
      </w:r>
      <w:r>
        <w:rPr>
          <w:rFonts w:hint="eastAsia" w:asciiTheme="minorEastAsia" w:hAnsiTheme="minorEastAsia" w:eastAsiaTheme="minorEastAsia" w:cstheme="minorEastAsia"/>
          <w:b/>
          <w:bCs/>
          <w:color w:val="000000" w:themeColor="text1"/>
          <w:sz w:val="28"/>
          <w:szCs w:val="28"/>
          <w:lang w:eastAsia="zh-CN"/>
          <w14:textFill>
            <w14:solidFill>
              <w14:schemeClr w14:val="tx1"/>
            </w14:solidFill>
          </w14:textFill>
        </w:rPr>
        <w:t>）</w:t>
      </w:r>
    </w:p>
    <w:p w14:paraId="0EAC0505">
      <w:pPr>
        <w:pStyle w:val="4"/>
        <w:numPr>
          <w:ilvl w:val="0"/>
          <w:numId w:val="0"/>
        </w:numPr>
        <w:jc w:val="center"/>
        <w:rPr>
          <w:rFonts w:hint="eastAsia" w:asciiTheme="minorEastAsia" w:hAnsiTheme="minorEastAsia" w:eastAsiaTheme="minorEastAsia" w:cstheme="minorEastAsia"/>
          <w:b/>
          <w:bCs/>
          <w:color w:val="000000" w:themeColor="text1"/>
          <w:sz w:val="28"/>
          <w:szCs w:val="28"/>
          <w:lang w:eastAsia="zh-CN"/>
          <w14:textFill>
            <w14:solidFill>
              <w14:schemeClr w14:val="tx1"/>
            </w14:solidFill>
          </w14:textFill>
        </w:rPr>
      </w:pPr>
    </w:p>
    <w:p w14:paraId="08DCBC20">
      <w:pPr>
        <w:spacing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一、项目概况：</w:t>
      </w:r>
    </w:p>
    <w:p w14:paraId="76487252">
      <w:pPr>
        <w:spacing w:line="360" w:lineRule="auto"/>
        <w:ind w:left="1405" w:hanging="1405" w:hangingChars="500"/>
        <w:rPr>
          <w:rFonts w:hint="eastAsia" w:ascii="宋体" w:hAnsi="宋体" w:eastAsia="宋体" w:cs="宋体"/>
          <w:kern w:val="0"/>
          <w:sz w:val="28"/>
          <w:szCs w:val="28"/>
        </w:rPr>
      </w:pPr>
      <w:r>
        <w:rPr>
          <w:rFonts w:hint="eastAsia" w:ascii="宋体" w:hAnsi="宋体" w:eastAsia="宋体" w:cs="宋体"/>
          <w:b/>
          <w:bCs/>
          <w:kern w:val="0"/>
          <w:sz w:val="28"/>
          <w:szCs w:val="28"/>
        </w:rPr>
        <w:t>项目名称：</w:t>
      </w:r>
      <w:r>
        <w:rPr>
          <w:rFonts w:hint="eastAsia" w:ascii="宋体" w:hAnsi="宋体" w:eastAsia="宋体" w:cs="宋体"/>
          <w:kern w:val="0"/>
          <w:sz w:val="28"/>
          <w:szCs w:val="28"/>
        </w:rPr>
        <w:t>旬阳市养老服务中心（东区、南区、北区）2026年度</w:t>
      </w:r>
      <w:r>
        <w:rPr>
          <w:rFonts w:hint="eastAsia" w:ascii="宋体" w:hAnsi="宋体" w:eastAsia="宋体" w:cs="宋体"/>
          <w:kern w:val="0"/>
          <w:sz w:val="28"/>
          <w:szCs w:val="28"/>
          <w:lang w:eastAsia="zh-CN"/>
        </w:rPr>
        <w:t>米面杂粮油</w:t>
      </w:r>
      <w:r>
        <w:rPr>
          <w:rFonts w:hint="eastAsia" w:ascii="宋体" w:hAnsi="宋体" w:eastAsia="宋体" w:cs="宋体"/>
          <w:kern w:val="0"/>
          <w:sz w:val="28"/>
          <w:szCs w:val="28"/>
        </w:rPr>
        <w:t>采购</w:t>
      </w:r>
    </w:p>
    <w:p w14:paraId="7CE41575">
      <w:pPr>
        <w:spacing w:line="360" w:lineRule="auto"/>
        <w:rPr>
          <w:rFonts w:hint="eastAsia" w:ascii="宋体" w:hAnsi="宋体" w:eastAsia="宋体" w:cs="宋体"/>
          <w:kern w:val="0"/>
          <w:sz w:val="28"/>
          <w:szCs w:val="28"/>
        </w:rPr>
      </w:pPr>
      <w:r>
        <w:rPr>
          <w:rFonts w:hint="eastAsia" w:ascii="宋体" w:hAnsi="宋体" w:eastAsia="宋体" w:cs="宋体"/>
          <w:b/>
          <w:bCs/>
          <w:kern w:val="0"/>
          <w:sz w:val="28"/>
          <w:szCs w:val="28"/>
        </w:rPr>
        <w:t>项目用途：</w:t>
      </w:r>
      <w:r>
        <w:rPr>
          <w:rFonts w:hint="eastAsia" w:ascii="宋体" w:hAnsi="宋体" w:eastAsia="宋体" w:cs="宋体"/>
          <w:kern w:val="0"/>
          <w:sz w:val="28"/>
          <w:szCs w:val="28"/>
        </w:rPr>
        <w:t>为保障各敬老院膳食供应安全、优质、稳定。</w:t>
      </w:r>
    </w:p>
    <w:p w14:paraId="6B248E32">
      <w:pPr>
        <w:spacing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二、采购内容及质量要求：</w:t>
      </w:r>
    </w:p>
    <w:p w14:paraId="2C4A4B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2"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lang w:val="en-US" w:eastAsia="zh-CN"/>
        </w:rPr>
        <w:t>大米：</w:t>
      </w:r>
      <w:r>
        <w:rPr>
          <w:rFonts w:hint="eastAsia" w:ascii="宋体" w:hAnsi="宋体" w:eastAsia="宋体" w:cs="宋体"/>
          <w:b w:val="0"/>
          <w:bCs w:val="0"/>
          <w:color w:val="auto"/>
          <w:sz w:val="28"/>
          <w:szCs w:val="28"/>
          <w:lang w:val="en-US" w:eastAsia="zh-CN"/>
        </w:rPr>
        <w:t>采用原厂独立预包装，规格25kg/袋；为非转基因稻谷加工一级大米，不添加任何食品添加剂、抛光剂、增香剂；执行GB/T 1354-2018一级大米标准，同时符合GB 2761</w:t>
      </w:r>
      <w:r>
        <w:rPr>
          <w:rFonts w:hint="eastAsia" w:hAnsi="宋体" w:cs="宋体"/>
          <w:b w:val="0"/>
          <w:bCs w:val="0"/>
          <w:color w:val="auto"/>
          <w:sz w:val="28"/>
          <w:szCs w:val="28"/>
          <w:lang w:val="en-US" w:eastAsia="zh-CN"/>
        </w:rPr>
        <w:t>-2017</w:t>
      </w:r>
      <w:r>
        <w:rPr>
          <w:rFonts w:hint="eastAsia" w:ascii="宋体" w:hAnsi="宋体" w:eastAsia="宋体" w:cs="宋体"/>
          <w:b w:val="0"/>
          <w:bCs w:val="0"/>
          <w:color w:val="auto"/>
          <w:sz w:val="28"/>
          <w:szCs w:val="28"/>
          <w:lang w:val="en-US" w:eastAsia="zh-CN"/>
        </w:rPr>
        <w:t>、GB 2762</w:t>
      </w:r>
      <w:r>
        <w:rPr>
          <w:rFonts w:hint="eastAsia" w:hAnsi="宋体" w:cs="宋体"/>
          <w:b w:val="0"/>
          <w:bCs w:val="0"/>
          <w:color w:val="auto"/>
          <w:sz w:val="28"/>
          <w:szCs w:val="28"/>
          <w:lang w:val="en-US" w:eastAsia="zh-CN"/>
        </w:rPr>
        <w:t>-2025</w:t>
      </w:r>
      <w:r>
        <w:rPr>
          <w:rFonts w:hint="eastAsia" w:ascii="宋体" w:hAnsi="宋体" w:eastAsia="宋体" w:cs="宋体"/>
          <w:b w:val="0"/>
          <w:bCs w:val="0"/>
          <w:color w:val="auto"/>
          <w:sz w:val="28"/>
          <w:szCs w:val="28"/>
          <w:lang w:val="en-US" w:eastAsia="zh-CN"/>
        </w:rPr>
        <w:t>、GB 2763</w:t>
      </w:r>
      <w:r>
        <w:rPr>
          <w:rFonts w:hint="eastAsia" w:hAnsi="宋体" w:cs="宋体"/>
          <w:b w:val="0"/>
          <w:bCs w:val="0"/>
          <w:color w:val="auto"/>
          <w:sz w:val="28"/>
          <w:szCs w:val="28"/>
          <w:lang w:val="en-US" w:eastAsia="zh-CN"/>
        </w:rPr>
        <w:t>-2026</w:t>
      </w:r>
      <w:r>
        <w:rPr>
          <w:rFonts w:hint="eastAsia" w:ascii="宋体" w:hAnsi="宋体" w:eastAsia="宋体" w:cs="宋体"/>
          <w:b w:val="0"/>
          <w:bCs w:val="0"/>
          <w:color w:val="auto"/>
          <w:sz w:val="28"/>
          <w:szCs w:val="28"/>
          <w:lang w:val="en-US" w:eastAsia="zh-CN"/>
        </w:rPr>
        <w:t>食品安全强制国标；标签标识符合GB 7718</w:t>
      </w:r>
      <w:r>
        <w:rPr>
          <w:rFonts w:hint="eastAsia" w:hAnsi="宋体" w:cs="宋体"/>
          <w:b w:val="0"/>
          <w:bCs w:val="0"/>
          <w:color w:val="auto"/>
          <w:sz w:val="28"/>
          <w:szCs w:val="28"/>
          <w:lang w:val="en-US" w:eastAsia="zh-CN"/>
        </w:rPr>
        <w:t>-2011</w:t>
      </w:r>
      <w:r>
        <w:rPr>
          <w:rFonts w:hint="eastAsia" w:ascii="宋体" w:hAnsi="宋体" w:eastAsia="宋体" w:cs="宋体"/>
          <w:b w:val="0"/>
          <w:bCs w:val="0"/>
          <w:color w:val="auto"/>
          <w:sz w:val="28"/>
          <w:szCs w:val="28"/>
          <w:lang w:val="en-US" w:eastAsia="zh-CN"/>
        </w:rPr>
        <w:t>；原厂一次性密封包装，严禁散装、二次分装；米粒饱满均匀，无霉变、生虫、杂质、异味，理化指标达标；配送货品生产日期距送货当日不超过30天；每批次随车附带合格证、质检报告，供应商资质齐全完整，全程溯源；外包装完整标注生产日期、保质期、执行标准、储存条件、生产厂家、产地、SC编号等全部法定信息，不合格货品无条件退换货。</w:t>
      </w:r>
    </w:p>
    <w:p w14:paraId="659775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2" w:firstLineChars="200"/>
        <w:jc w:val="both"/>
        <w:textAlignment w:val="auto"/>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lang w:val="en-US" w:eastAsia="zh-CN"/>
        </w:rPr>
        <w:t>面粉：</w:t>
      </w:r>
      <w:r>
        <w:rPr>
          <w:rFonts w:hint="eastAsia" w:ascii="宋体" w:hAnsi="宋体" w:eastAsia="宋体" w:cs="宋体"/>
          <w:b w:val="0"/>
          <w:bCs w:val="0"/>
          <w:color w:val="auto"/>
          <w:sz w:val="28"/>
          <w:szCs w:val="28"/>
          <w:lang w:val="en-US" w:eastAsia="zh-CN"/>
        </w:rPr>
        <w:t>采用原厂独立预包装，规格25kg/袋；选用特制一等小麦粉，原料无陈化粮、霉变粮掺兑，不添加增白剂、违规改良剂等任何添加剂；执行GB/T 1355-2021，同时符合GB 2761</w:t>
      </w:r>
      <w:r>
        <w:rPr>
          <w:rFonts w:hint="eastAsia" w:hAnsi="宋体" w:cs="宋体"/>
          <w:b w:val="0"/>
          <w:bCs w:val="0"/>
          <w:color w:val="auto"/>
          <w:sz w:val="28"/>
          <w:szCs w:val="28"/>
          <w:lang w:val="en-US" w:eastAsia="zh-CN"/>
        </w:rPr>
        <w:t>-2017</w:t>
      </w:r>
      <w:r>
        <w:rPr>
          <w:rFonts w:hint="eastAsia" w:ascii="宋体" w:hAnsi="宋体" w:eastAsia="宋体" w:cs="宋体"/>
          <w:b w:val="0"/>
          <w:bCs w:val="0"/>
          <w:color w:val="auto"/>
          <w:sz w:val="28"/>
          <w:szCs w:val="28"/>
          <w:lang w:val="en-US" w:eastAsia="zh-CN"/>
        </w:rPr>
        <w:t>、GB 2762</w:t>
      </w:r>
      <w:r>
        <w:rPr>
          <w:rFonts w:hint="eastAsia" w:hAnsi="宋体" w:cs="宋体"/>
          <w:b w:val="0"/>
          <w:bCs w:val="0"/>
          <w:color w:val="auto"/>
          <w:sz w:val="28"/>
          <w:szCs w:val="28"/>
          <w:lang w:val="en-US" w:eastAsia="zh-CN"/>
        </w:rPr>
        <w:t>-2025</w:t>
      </w:r>
      <w:r>
        <w:rPr>
          <w:rFonts w:hint="eastAsia" w:ascii="宋体" w:hAnsi="宋体" w:eastAsia="宋体" w:cs="宋体"/>
          <w:b w:val="0"/>
          <w:bCs w:val="0"/>
          <w:color w:val="auto"/>
          <w:sz w:val="28"/>
          <w:szCs w:val="28"/>
          <w:lang w:val="en-US" w:eastAsia="zh-CN"/>
        </w:rPr>
        <w:t>、GB 2763</w:t>
      </w:r>
      <w:r>
        <w:rPr>
          <w:rFonts w:hint="eastAsia" w:hAnsi="宋体" w:cs="宋体"/>
          <w:b w:val="0"/>
          <w:bCs w:val="0"/>
          <w:color w:val="auto"/>
          <w:sz w:val="28"/>
          <w:szCs w:val="28"/>
          <w:lang w:val="en-US" w:eastAsia="zh-CN"/>
        </w:rPr>
        <w:t>-2026</w:t>
      </w:r>
      <w:r>
        <w:rPr>
          <w:rFonts w:hint="eastAsia" w:ascii="宋体" w:hAnsi="宋体" w:eastAsia="宋体" w:cs="宋体"/>
          <w:b w:val="0"/>
          <w:bCs w:val="0"/>
          <w:color w:val="auto"/>
          <w:sz w:val="28"/>
          <w:szCs w:val="28"/>
          <w:lang w:val="en-US" w:eastAsia="zh-CN"/>
        </w:rPr>
        <w:t>食品安全国家标准；标签标识符合GB 7718</w:t>
      </w:r>
      <w:r>
        <w:rPr>
          <w:rFonts w:hint="eastAsia" w:hAnsi="宋体" w:cs="宋体"/>
          <w:b w:val="0"/>
          <w:bCs w:val="0"/>
          <w:color w:val="auto"/>
          <w:sz w:val="28"/>
          <w:szCs w:val="28"/>
          <w:lang w:val="en-US" w:eastAsia="zh-CN"/>
        </w:rPr>
        <w:t>-2011</w:t>
      </w:r>
      <w:r>
        <w:rPr>
          <w:rFonts w:hint="eastAsia" w:ascii="宋体" w:hAnsi="宋体" w:eastAsia="宋体" w:cs="宋体"/>
          <w:b w:val="0"/>
          <w:bCs w:val="0"/>
          <w:color w:val="auto"/>
          <w:sz w:val="28"/>
          <w:szCs w:val="28"/>
          <w:lang w:val="en-US" w:eastAsia="zh-CN"/>
        </w:rPr>
        <w:t>；原厂一次性密封包装，严禁散装、二次分装；粉质细腻均匀，无结块、生虫、霉变、砂石杂质，具有正常小麦固有香气，无任何异味；配送货品生产日期距送货当日不超过30天；每批次随车附带产品合格证、质检报告，供应商资质齐全、全程可溯源；外包装完整标注生产日期、保质期、执行标准、储存条件、生产厂家、产地、SC编号等法定信息，不合格货品无条件退换货。</w:t>
      </w:r>
    </w:p>
    <w:p w14:paraId="0103F8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2" w:firstLineChars="200"/>
        <w:jc w:val="both"/>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bCs/>
          <w:color w:val="000000"/>
          <w:sz w:val="28"/>
          <w:szCs w:val="28"/>
          <w:lang w:val="en-US" w:eastAsia="zh-CN"/>
        </w:rPr>
        <w:t>食用油：</w:t>
      </w:r>
      <w:r>
        <w:rPr>
          <w:rFonts w:hint="eastAsia" w:ascii="宋体" w:hAnsi="宋体" w:eastAsia="宋体" w:cs="宋体"/>
          <w:b w:val="0"/>
          <w:bCs w:val="0"/>
          <w:color w:val="000000"/>
          <w:sz w:val="28"/>
          <w:szCs w:val="28"/>
          <w:lang w:val="en-US" w:eastAsia="zh-CN"/>
        </w:rPr>
        <w:t>采用5L/桶独立原厂密封预包装纯菜籽油，严禁散装、分装、二次灌装产品，具体技术及质量要求如下：</w:t>
      </w:r>
    </w:p>
    <w:p w14:paraId="7544330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1.原料要求：原料为100%非转基因油菜籽，无勾兑、无掺杂其他油脂，严禁转基因原料。</w:t>
      </w:r>
    </w:p>
    <w:p w14:paraId="47C7868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2. 生产工艺：优先采用压榨工艺。如采用浸出工艺，则溶剂残留量必须为“未检出”（检出限符合GB 5009.262相关要求），且产品标签上应明确标识“浸出”字样，并在投标时提供浸出工艺下溶剂残留达标的第三方检测报告。无论何种工艺，均不得添加任何食品添加剂、抗氧化剂、香精、色素。</w:t>
      </w:r>
    </w:p>
    <w:p w14:paraId="3AF8217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3. 添加剂要求：产品不添加任何食品添加剂、抗氧化剂、香精、色素，保持油品原生品质。</w:t>
      </w:r>
    </w:p>
    <w:p w14:paraId="3B38DA9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4. 质量等级与执行标准：产品等级为压榨一级菜籽油，质量全面符合：GB/T 1536-</w:t>
      </w:r>
      <w:r>
        <w:rPr>
          <w:rFonts w:hint="eastAsia" w:hAnsi="宋体" w:cs="宋体"/>
          <w:b w:val="0"/>
          <w:bCs w:val="0"/>
          <w:color w:val="000000"/>
          <w:sz w:val="28"/>
          <w:szCs w:val="28"/>
          <w:lang w:val="en-US" w:eastAsia="zh-CN"/>
        </w:rPr>
        <w:t>2021</w:t>
      </w:r>
      <w:r>
        <w:rPr>
          <w:rFonts w:hint="eastAsia" w:ascii="宋体" w:hAnsi="宋体" w:eastAsia="宋体" w:cs="宋体"/>
          <w:b w:val="0"/>
          <w:bCs w:val="0"/>
          <w:color w:val="000000"/>
          <w:sz w:val="28"/>
          <w:szCs w:val="28"/>
          <w:lang w:val="en-US" w:eastAsia="zh-CN"/>
        </w:rPr>
        <w:t>《菜籽油》、GB 2716-2018《食品安全国家标准植物油》强制及规范要求。</w:t>
      </w:r>
    </w:p>
    <w:p w14:paraId="1345FCE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5. 标签标识要求：产品标签严格执行GB 7718</w:t>
      </w:r>
      <w:r>
        <w:rPr>
          <w:rFonts w:hint="eastAsia" w:hAnsi="宋体" w:cs="宋体"/>
          <w:b w:val="0"/>
          <w:bCs w:val="0"/>
          <w:color w:val="000000"/>
          <w:sz w:val="28"/>
          <w:szCs w:val="28"/>
          <w:lang w:val="en-US" w:eastAsia="zh-CN"/>
        </w:rPr>
        <w:t>-2011</w:t>
      </w:r>
      <w:r>
        <w:rPr>
          <w:rFonts w:hint="eastAsia" w:ascii="宋体" w:hAnsi="宋体" w:eastAsia="宋体" w:cs="宋体"/>
          <w:b w:val="0"/>
          <w:bCs w:val="0"/>
          <w:color w:val="000000"/>
          <w:sz w:val="28"/>
          <w:szCs w:val="28"/>
          <w:lang w:val="en-US" w:eastAsia="zh-CN"/>
        </w:rPr>
        <w:t>《</w:t>
      </w:r>
      <w:r>
        <w:rPr>
          <w:rFonts w:hint="eastAsia" w:hAnsi="宋体" w:cs="宋体"/>
          <w:b w:val="0"/>
          <w:bCs w:val="0"/>
          <w:color w:val="000000"/>
          <w:sz w:val="28"/>
          <w:szCs w:val="28"/>
          <w:lang w:val="en-US" w:eastAsia="zh-CN"/>
        </w:rPr>
        <w:t>食品安全国家标准</w:t>
      </w:r>
      <w:r>
        <w:rPr>
          <w:rFonts w:hint="eastAsia" w:ascii="宋体" w:hAnsi="宋体" w:eastAsia="宋体" w:cs="宋体"/>
          <w:b w:val="0"/>
          <w:bCs w:val="0"/>
          <w:color w:val="000000"/>
          <w:sz w:val="28"/>
          <w:szCs w:val="28"/>
          <w:lang w:val="en-US" w:eastAsia="zh-CN"/>
        </w:rPr>
        <w:t>预包装食品标签通则》，外包装清晰、完整标注：产品名称、原料、生产工艺、质量等级、执行标准、生产日期、保质期、储存条件、生产厂家、生产产地、SC生产许可证号等全部法定信息，标识规范、清晰可辨。</w:t>
      </w:r>
    </w:p>
    <w:p w14:paraId="7EB376B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6. 感官质量要求：油品清亮透明，无浑浊、无悬浮物、无沉淀、无分层；具有纯正菜籽油固有香味，无酸败味、哈喇味、焦糊味及任何异味。</w:t>
      </w:r>
    </w:p>
    <w:p w14:paraId="430EDC0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7. 生产日期要求：所配送货品生产日期距送货当日不得超过30天，保证油品新鲜度，杜绝临期、库存积压油品。</w:t>
      </w:r>
    </w:p>
    <w:p w14:paraId="3765AFC1">
      <w:pPr>
        <w:keepNext/>
        <w:pageBreakBefore w:val="0"/>
        <w:widowControl/>
        <w:kinsoku/>
        <w:wordWrap/>
        <w:overflowPunct/>
        <w:topLinePunct w:val="0"/>
        <w:autoSpaceDE/>
        <w:autoSpaceDN/>
        <w:bidi w:val="0"/>
        <w:snapToGrid w:val="0"/>
        <w:spacing w:beforeAutospacing="0" w:afterAutospacing="0" w:line="360" w:lineRule="auto"/>
        <w:ind w:firstLine="562" w:firstLineChars="200"/>
        <w:jc w:val="left"/>
        <w:rPr>
          <w:rFonts w:hint="eastAsia" w:ascii="宋体" w:hAnsi="宋体" w:eastAsia="宋体" w:cs="宋体"/>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杂粮</w:t>
      </w:r>
      <w:r>
        <w:rPr>
          <w:rFonts w:hint="eastAsia" w:ascii="宋体" w:hAnsi="宋体" w:eastAsia="宋体" w:cs="宋体"/>
          <w:color w:val="000000"/>
          <w:sz w:val="28"/>
          <w:szCs w:val="28"/>
          <w:highlight w:val="none"/>
          <w:lang w:val="en-US" w:eastAsia="zh-CN"/>
        </w:rPr>
        <w:t>的质量标准比照大米、面粉执行。</w:t>
      </w:r>
    </w:p>
    <w:p w14:paraId="01A3E02D">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为保证供货质量本项目实行“兼投不兼中”原则。供应商可同时参与多个包的投标，但不得同时中标两个及以上包。供应商若只参与其中一个包的投标，不受限制。</w:t>
      </w:r>
    </w:p>
    <w:p w14:paraId="09273CD8">
      <w:pPr>
        <w:spacing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三、供货人资格要求：</w:t>
      </w:r>
    </w:p>
    <w:p w14:paraId="34D83CFD">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 xml:space="preserve">1. 具有独立法人资格，持有有效的《营业执照》、《食品经营许可证》及相关资质；  </w:t>
      </w:r>
    </w:p>
    <w:p w14:paraId="2A2502E4">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 xml:space="preserve">2. 信誉良好，无食品安全事故及重大违法记录；  </w:t>
      </w:r>
    </w:p>
    <w:p w14:paraId="54053042">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3. 具备合规配送车辆、</w:t>
      </w:r>
      <w:r>
        <w:rPr>
          <w:rFonts w:hint="eastAsia" w:ascii="宋体" w:hAnsi="宋体" w:eastAsia="宋体" w:cs="宋体"/>
          <w:kern w:val="0"/>
          <w:sz w:val="28"/>
          <w:szCs w:val="28"/>
          <w:lang w:eastAsia="zh-CN"/>
        </w:rPr>
        <w:t>完善</w:t>
      </w:r>
      <w:r>
        <w:rPr>
          <w:rFonts w:hint="eastAsia" w:ascii="宋体" w:hAnsi="宋体" w:eastAsia="宋体" w:cs="宋体"/>
          <w:kern w:val="0"/>
          <w:sz w:val="28"/>
          <w:szCs w:val="28"/>
        </w:rPr>
        <w:t>粮油仓储库房，配送人员持有效健康证明，承诺全天候应急配送</w:t>
      </w:r>
      <w:r>
        <w:rPr>
          <w:rFonts w:hint="eastAsia" w:ascii="宋体" w:hAnsi="宋体" w:eastAsia="宋体" w:cs="宋体"/>
          <w:kern w:val="0"/>
          <w:sz w:val="28"/>
          <w:szCs w:val="28"/>
          <w:lang w:eastAsia="zh-CN"/>
        </w:rPr>
        <w:t>及</w:t>
      </w:r>
      <w:r>
        <w:rPr>
          <w:rFonts w:hint="eastAsia" w:ascii="宋体" w:hAnsi="宋体" w:eastAsia="宋体" w:cs="宋体"/>
          <w:kern w:val="0"/>
          <w:sz w:val="28"/>
          <w:szCs w:val="28"/>
        </w:rPr>
        <w:t xml:space="preserve">食品安全管理体系。  </w:t>
      </w:r>
    </w:p>
    <w:p w14:paraId="7FF9A1CF">
      <w:pPr>
        <w:spacing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四、商务要求：</w:t>
      </w:r>
    </w:p>
    <w:p w14:paraId="20D0C0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themeColor="text1"/>
          <w:kern w:val="0"/>
          <w:sz w:val="28"/>
          <w:szCs w:val="28"/>
          <w14:textFill>
            <w14:solidFill>
              <w14:schemeClr w14:val="tx1"/>
            </w14:solidFill>
          </w14:textFill>
        </w:rPr>
      </w:pPr>
      <w:r>
        <w:rPr>
          <w:rFonts w:hint="eastAsia" w:ascii="宋体" w:hAnsi="宋体" w:eastAsia="宋体" w:cs="宋体"/>
          <w:b/>
          <w:bCs/>
          <w:color w:val="000000" w:themeColor="text1"/>
          <w:kern w:val="0"/>
          <w:sz w:val="28"/>
          <w:szCs w:val="28"/>
          <w14:textFill>
            <w14:solidFill>
              <w14:schemeClr w14:val="tx1"/>
            </w14:solidFill>
          </w14:textFill>
        </w:rPr>
        <w:t>（一）质量要求</w:t>
      </w:r>
    </w:p>
    <w:p w14:paraId="5D6CCDF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color w:val="000000" w:themeColor="text1"/>
          <w:sz w:val="28"/>
          <w:szCs w:val="28"/>
          <w:lang w:val="zh-CN"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zh-CN"/>
          <w14:textFill>
            <w14:solidFill>
              <w14:schemeClr w14:val="tx1"/>
            </w14:solidFill>
          </w14:textFill>
        </w:rPr>
        <w:t>依据本项目的要求，本项目涉及的所有食材。有国家标准、规范的，应当符合国家标准、规范；没有国家标准、规范的，应当符合相关行业或地方标准、规范或团体标准、规范或企业标准、规范</w:t>
      </w:r>
      <w:r>
        <w:rPr>
          <w:rFonts w:hint="eastAsia" w:asciiTheme="minorEastAsia" w:hAnsiTheme="minorEastAsia" w:eastAsiaTheme="minorEastAsia" w:cstheme="minorEastAsia"/>
          <w:color w:val="000000" w:themeColor="text1"/>
          <w:sz w:val="28"/>
          <w:szCs w:val="28"/>
          <w:lang w:val="zh-CN" w:eastAsia="zh-CN"/>
          <w14:textFill>
            <w14:solidFill>
              <w14:schemeClr w14:val="tx1"/>
            </w14:solidFill>
          </w14:textFill>
        </w:rPr>
        <w:t>。</w:t>
      </w:r>
    </w:p>
    <w:p w14:paraId="6C9D3E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bCs/>
          <w:color w:val="000000" w:themeColor="text1"/>
          <w:kern w:val="0"/>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lang w:val="zh-CN"/>
          <w14:textFill>
            <w14:solidFill>
              <w14:schemeClr w14:val="tx1"/>
            </w14:solidFill>
          </w14:textFill>
        </w:rPr>
        <w:t>顺序执行：国家标准→行业标准→地方标准→团体标准→企业标准（有国家标准按国家标准执行，没有国家标准按行业标准，以此类推）； 必须执行：国家（行业）强制性标准。</w:t>
      </w:r>
    </w:p>
    <w:p w14:paraId="45787B5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000000" w:themeColor="text1"/>
          <w:kern w:val="0"/>
          <w:sz w:val="28"/>
          <w:szCs w:val="28"/>
          <w14:textFill>
            <w14:solidFill>
              <w14:schemeClr w14:val="tx1"/>
            </w14:solidFill>
          </w14:textFill>
        </w:rPr>
      </w:pPr>
      <w:r>
        <w:rPr>
          <w:rFonts w:hint="eastAsia" w:ascii="宋体" w:hAnsi="宋体" w:eastAsia="宋体" w:cs="宋体"/>
          <w:b/>
          <w:bCs/>
          <w:color w:val="000000" w:themeColor="text1"/>
          <w:kern w:val="0"/>
          <w:sz w:val="28"/>
          <w:szCs w:val="28"/>
          <w:lang w:val="en-US" w:eastAsia="zh-CN" w:bidi="ar-SA"/>
          <w14:textFill>
            <w14:solidFill>
              <w14:schemeClr w14:val="tx1"/>
            </w14:solidFill>
          </w14:textFill>
        </w:rPr>
        <w:t>（二）</w:t>
      </w:r>
      <w:r>
        <w:rPr>
          <w:rFonts w:hint="eastAsia" w:ascii="宋体" w:hAnsi="宋体" w:eastAsia="宋体" w:cs="宋体"/>
          <w:b/>
          <w:bCs/>
          <w:color w:val="000000" w:themeColor="text1"/>
          <w:kern w:val="0"/>
          <w:sz w:val="28"/>
          <w:szCs w:val="28"/>
          <w14:textFill>
            <w14:solidFill>
              <w14:schemeClr w14:val="tx1"/>
            </w14:solidFill>
          </w14:textFill>
        </w:rPr>
        <w:t>供货时间及方式</w:t>
      </w:r>
    </w:p>
    <w:p w14:paraId="293EC6B3">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供货期：自合同签订之日起一年。</w:t>
      </w:r>
    </w:p>
    <w:p w14:paraId="7F8BA9D5">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供货地点：采购人指定地点。</w:t>
      </w:r>
    </w:p>
    <w:p w14:paraId="6326A13B">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中标企业要在每周</w:t>
      </w:r>
      <w:r>
        <w:rPr>
          <w:rFonts w:hint="eastAsia" w:ascii="宋体" w:hAnsi="宋体" w:eastAsia="宋体" w:cs="宋体"/>
          <w:kern w:val="0"/>
          <w:sz w:val="28"/>
          <w:szCs w:val="28"/>
          <w:lang w:eastAsia="zh-CN"/>
        </w:rPr>
        <w:t>、每半个月</w:t>
      </w:r>
      <w:r>
        <w:rPr>
          <w:rFonts w:hint="eastAsia" w:ascii="宋体" w:hAnsi="宋体" w:eastAsia="宋体" w:cs="宋体"/>
          <w:kern w:val="0"/>
          <w:sz w:val="28"/>
          <w:szCs w:val="28"/>
        </w:rPr>
        <w:t>规定时间前按照各院电话或微信制定的采购计划配送当天食材到指定位置，如需延时送货或缺货的应及时通知各院。各院负责做好食材重量、数量、质量等履约验收工作。</w:t>
      </w:r>
    </w:p>
    <w:p w14:paraId="592BF4E2">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所采购的任一货品均由中标企业承担运送及运费。中标企业应积极配合做好不符合要求食材和破损食材的退换工作，不得推诿扯皮。应确定具体联系人及送货人，并将联系人、送货人的基本信息（姓名、联系电话、身份证复印件）加盖印章后报各院备案。</w:t>
      </w:r>
    </w:p>
    <w:p w14:paraId="083DF6BA">
      <w:pPr>
        <w:spacing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（三）食材购买</w:t>
      </w:r>
    </w:p>
    <w:p w14:paraId="3C453311">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食材采购执行招标和投标文件要求，严格执行国家及行业标准。每批次食材需附带合格证、检验报告及价格清单；对于不符合规格要求、以次充好、质量问题及价格虚高等现象，各院有权退货，企业必须无条件退换，且须在2至4小时内退换完成。</w:t>
      </w:r>
    </w:p>
    <w:p w14:paraId="5DFAB3F8">
      <w:pPr>
        <w:spacing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（四）食材储存</w:t>
      </w:r>
    </w:p>
    <w:p w14:paraId="7BC18FF4">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1.设置与配送食材相适应的专用库房。</w:t>
      </w:r>
    </w:p>
    <w:p w14:paraId="43E2489A">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2.库房应符合相关食材所要求的温、湿度条件。</w:t>
      </w:r>
    </w:p>
    <w:p w14:paraId="6D1B483E">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3.库房的“七防”设施齐全。</w:t>
      </w:r>
    </w:p>
    <w:p w14:paraId="05AA4414">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4.食材库必须合理设置贮存区。贮存区至少分为分拣区、待送区、退货区等，所有区域必须明确，不可混用、混放。</w:t>
      </w:r>
    </w:p>
    <w:p w14:paraId="5919A2C3">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5.食材入库后必须分类存放在货架上，隔墙离地存放，整齐摆放。每类每批食品挂牌存放，标明采购日期、产品名称、产地、规格、生产日期及最终保质时限，做到账、卡、物相符，做到先进先出，确保食材新鲜无霉烂变质。</w:t>
      </w:r>
    </w:p>
    <w:p w14:paraId="730E2446">
      <w:pPr>
        <w:spacing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（五）食材管理</w:t>
      </w:r>
    </w:p>
    <w:p w14:paraId="7519401E">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投标人至少要确定2名食材管理人员，实行双人采购、双人查验、双人签收，分别建立集散地采购、原材料出、入库登记台账及食材配送和食材退换台账。</w:t>
      </w:r>
    </w:p>
    <w:p w14:paraId="07956062">
      <w:pPr>
        <w:spacing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（六）食材配送</w:t>
      </w:r>
    </w:p>
    <w:p w14:paraId="6BDBBBC1">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1.企业须按照食材贮存、运输条件进行配送。配送人员必须专人负责。</w:t>
      </w:r>
    </w:p>
    <w:p w14:paraId="109D0129">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2.配送车辆必须为食品专用车辆，不得与其他非食品货物共同或交叉使用同一运输车辆。车辆及用具必须保证清洁卫生，每天定时清洗消毒，定期进行安全检查，做好记录。食品装车后应做到专人、专锁，在运输途中不得擅自开启，所有食材必须按我院要求按时、保质、足量配送到位。</w:t>
      </w:r>
    </w:p>
    <w:p w14:paraId="09AF87EA">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3.车辆所有证件、保险单据齐全有效，运输过程中确保行车安全，对因交通、卫生、天气等原因影响供餐的紧急情况进行妥善处置，确保所有食材按时送达。</w:t>
      </w:r>
    </w:p>
    <w:p w14:paraId="2DDCE0FD">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4.预先做好应急预案。对因交通、车辆、卫生、天气等原因影响供餐的紧急情况进行妥善处置，确保所有食材按时送达。</w:t>
      </w:r>
    </w:p>
    <w:p w14:paraId="38508C8A">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严格执行《中华人民共和国食品安全法》、《学校食品安全与营养健康管理规定》等相关法律法规和省、市文件规定。</w:t>
      </w:r>
    </w:p>
    <w:p w14:paraId="32D22DF1">
      <w:pPr>
        <w:spacing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（七）履约验收</w:t>
      </w:r>
    </w:p>
    <w:p w14:paraId="4D3F05F3">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中标人将食材送达后，经各院严格按照采购标准要求进行验收签字。核对品种、数量是否与采购计划一致。索证索票、查验食材是否符合食品安全卫生要求，每批次食材需附带合格证、检验报告及价格清单；对不达标或不符合食品安全卫生要求的食材进行退还或拒收。</w:t>
      </w:r>
    </w:p>
    <w:p w14:paraId="129398FD">
      <w:pPr>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kern w:val="0"/>
          <w:sz w:val="28"/>
          <w:szCs w:val="28"/>
        </w:rPr>
        <w:t>采购人在合同的履行期间以及履行期后，可以随时检查项目的执行</w:t>
      </w:r>
      <w:r>
        <w:rPr>
          <w:rFonts w:hint="eastAsia" w:ascii="宋体" w:hAnsi="宋体" w:eastAsia="宋体" w:cs="宋体"/>
          <w:color w:val="000000" w:themeColor="text1"/>
          <w:kern w:val="0"/>
          <w:sz w:val="28"/>
          <w:szCs w:val="28"/>
          <w14:textFill>
            <w14:solidFill>
              <w14:schemeClr w14:val="tx1"/>
            </w14:solidFill>
          </w14:textFill>
        </w:rPr>
        <w:t>情况，对采购标准、采购内容进行调查核实，并对发现的问题进行处理。</w:t>
      </w:r>
    </w:p>
    <w:p w14:paraId="3F03175B">
      <w:pPr>
        <w:spacing w:line="360" w:lineRule="auto"/>
        <w:rPr>
          <w:rFonts w:hint="eastAsia" w:ascii="宋体" w:hAnsi="宋体" w:eastAsia="宋体" w:cs="宋体"/>
          <w:b/>
          <w:bCs/>
          <w:color w:val="000000" w:themeColor="text1"/>
          <w:kern w:val="0"/>
          <w:sz w:val="28"/>
          <w:szCs w:val="28"/>
          <w14:textFill>
            <w14:solidFill>
              <w14:schemeClr w14:val="tx1"/>
            </w14:solidFill>
          </w14:textFill>
        </w:rPr>
      </w:pPr>
      <w:r>
        <w:rPr>
          <w:rFonts w:hint="eastAsia" w:ascii="宋体" w:hAnsi="宋体" w:eastAsia="宋体" w:cs="宋体"/>
          <w:b/>
          <w:bCs/>
          <w:color w:val="000000" w:themeColor="text1"/>
          <w:kern w:val="0"/>
          <w:sz w:val="28"/>
          <w:szCs w:val="28"/>
          <w14:textFill>
            <w14:solidFill>
              <w14:schemeClr w14:val="tx1"/>
            </w14:solidFill>
          </w14:textFill>
        </w:rPr>
        <w:t>（八）合同价款及结算方式</w:t>
      </w:r>
    </w:p>
    <w:p w14:paraId="025A38E1">
      <w:pP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合同价款及报价要求</w:t>
      </w:r>
    </w:p>
    <w:p w14:paraId="0245E993">
      <w:pPr>
        <w:spacing w:line="360" w:lineRule="auto"/>
        <w:ind w:firstLine="560" w:firstLineChars="200"/>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1. 本项目采用总价报价、总价包干方式。乙方投标及签约报价必须申报本合同周期内全部供货总价，不得以单价报价、暂估价、据实结算价等方式报价，合同最终价款以双方确认的总价为准。</w:t>
      </w:r>
    </w:p>
    <w:p w14:paraId="7BC153B3">
      <w:pPr>
        <w:spacing w:line="360" w:lineRule="auto"/>
        <w:ind w:firstLine="560" w:firstLineChars="200"/>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2. 本合同总价为固定包干总价，包含全部粮油产品货款、包装、运输、装卸、配送、税费、质检、售后、补货换货、应急供货及完成本合同全部履约内容所需一切费用，甲方不再另行支付任何费用。</w:t>
      </w:r>
    </w:p>
    <w:p w14:paraId="1C771FE7">
      <w:pPr>
        <w:spacing w:line="360" w:lineRule="auto"/>
        <w:ind w:firstLine="560" w:firstLineChars="200"/>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3. 合同履行期间，市场粮油价格涨跌、运费、人工、原材料波动等一切市场及政策因素，均不调整合同总价，相关盈亏风险全部由乙方自行承担。</w:t>
      </w:r>
    </w:p>
    <w:p w14:paraId="6BC2E52F">
      <w:pPr>
        <w:spacing w:line="360" w:lineRule="auto"/>
        <w:ind w:firstLine="560" w:firstLineChars="200"/>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4. 甲方根据院内实际就餐人数及日常需求动态调整供货数量，实际供货量与预估量存在增减差异的，合同总价保持不变。</w:t>
      </w:r>
    </w:p>
    <w:p w14:paraId="73C327ED">
      <w:pPr>
        <w:spacing w:line="360" w:lineRule="auto"/>
        <w:rPr>
          <w:rFonts w:hint="eastAsia"/>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二、对账方式</w:t>
      </w:r>
    </w:p>
    <w:p w14:paraId="7BB35D07">
      <w:pPr>
        <w:spacing w:line="360" w:lineRule="auto"/>
        <w:ind w:firstLine="560" w:firstLineChars="200"/>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1. 供货实行批次验收、按月对账。乙方每次配送完毕，经甲方验收合格签字确认后，以送货验收单为对账原始依据。</w:t>
      </w:r>
    </w:p>
    <w:p w14:paraId="2D8362BB">
      <w:pPr>
        <w:spacing w:line="360" w:lineRule="auto"/>
        <w:ind w:firstLine="560" w:firstLineChars="200"/>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2. 每月期满后5个工作日内，双方对当月供货情况进行核对确认，形成月度对账结算单，作为付款依据。</w:t>
      </w:r>
    </w:p>
    <w:p w14:paraId="14C26A39">
      <w:pPr>
        <w:spacing w:before="100" w:beforeAutospacing="1" w:line="360" w:lineRule="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结算方式：</w:t>
      </w:r>
    </w:p>
    <w:p w14:paraId="46C68938">
      <w:pPr>
        <w:spacing w:line="360" w:lineRule="auto"/>
        <w:ind w:firstLine="560" w:firstLineChars="200"/>
        <w:rPr>
          <w:rFonts w:hint="eastAsia"/>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1.</w:t>
      </w:r>
      <w:r>
        <w:rPr>
          <w:rFonts w:hint="eastAsia"/>
          <w:color w:val="000000" w:themeColor="text1"/>
          <w:sz w:val="28"/>
          <w:szCs w:val="28"/>
          <w14:textFill>
            <w14:solidFill>
              <w14:schemeClr w14:val="tx1"/>
            </w14:solidFill>
          </w14:textFill>
        </w:rPr>
        <w:t>按月对账、按月结算。</w:t>
      </w:r>
    </w:p>
    <w:p w14:paraId="28066211">
      <w:pPr>
        <w:spacing w:line="360" w:lineRule="auto"/>
        <w:ind w:firstLine="560" w:firstLineChars="200"/>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2. 每月对账确认无误后，乙方按结算金额向甲方开具合法有效的全额正规发票。甲方收到完整结算资料及合规发票后，在约定期限内通过对公转账方式支付对应货款。</w:t>
      </w:r>
    </w:p>
    <w:p w14:paraId="5B1CDBA6">
      <w:pPr>
        <w:spacing w:line="360" w:lineRule="auto"/>
        <w:ind w:firstLine="560" w:firstLineChars="200"/>
        <w:rPr>
          <w:rFonts w:hint="eastAsia"/>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3. 所有款项均以银行对公转账结算，乙方指定收款账户信息固定，如需变更须提前书面告知并加盖公章，否则甲方不承担付款延误责任。</w:t>
      </w:r>
    </w:p>
    <w:p w14:paraId="144E911A">
      <w:pPr>
        <w:spacing w:line="360" w:lineRule="auto"/>
        <w:rPr>
          <w:rFonts w:hint="eastAsia" w:ascii="宋体" w:hAnsi="宋体" w:eastAsia="宋体" w:cs="宋体"/>
          <w:b/>
          <w:bCs/>
          <w:kern w:val="0"/>
          <w:sz w:val="28"/>
          <w:szCs w:val="28"/>
        </w:rPr>
      </w:pPr>
      <w:r>
        <w:rPr>
          <w:rFonts w:hint="eastAsia" w:ascii="宋体" w:hAnsi="宋体" w:eastAsia="宋体" w:cs="宋体"/>
          <w:b/>
          <w:bCs/>
          <w:kern w:val="0"/>
          <w:sz w:val="28"/>
          <w:szCs w:val="28"/>
        </w:rPr>
        <w:t>（九）违约责任</w:t>
      </w:r>
    </w:p>
    <w:p w14:paraId="1D80DC01">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中标人在食材采购与配送工作中,有下列情形之一的，停止采购配送资格；乙方承担由此造成的经济责任和法律责任。</w:t>
      </w:r>
    </w:p>
    <w:p w14:paraId="79F5F46E">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1.违反相关法律法规，被市场监管部门吊销食品经营许可证、营业执照；</w:t>
      </w:r>
    </w:p>
    <w:p w14:paraId="4C385F30">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2.所供的食材未按采购标准供货的；</w:t>
      </w:r>
    </w:p>
    <w:p w14:paraId="54199F1E">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3.违法违纪经营，受农业、市场监督、物价等部门行政处罚并被认定为情节严重的。</w:t>
      </w:r>
    </w:p>
    <w:p w14:paraId="518E9714">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4.发生食品安全事故或在合同期内被行政处罚的；</w:t>
      </w:r>
    </w:p>
    <w:p w14:paraId="187434A7">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5.存在采购法律法规禁止生产经营的食材、腐败变质、油脂酸败、霉变、生虫、污秽不洁、混有异物或者其他感官性状异常，对人体健康有害的；</w:t>
      </w:r>
    </w:p>
    <w:p w14:paraId="4675F345">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6.擅自转包、分包食材供应业务或存在擅自更换履约人等违约行为；</w:t>
      </w:r>
    </w:p>
    <w:p w14:paraId="61F34BF4">
      <w:pPr>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7.中标单位在一个合同期内，被各院检验不合格五次以上（含五次），且改正态度不积极的；在配送过程中企业员工与我院管理人员或食堂从业人员发生纠纷争执、打架斗殴造成严重后果的；对相关管理人员进行围攻、威胁，影响正常工作造成了恶劣影响的；违反在履行合同期间，因发生交通事故、道路外交通事故或意外事件而有致人死亡或致人严重伤残事故的；</w:t>
      </w:r>
    </w:p>
    <w:p w14:paraId="6B78BA99">
      <w:pPr>
        <w:spacing w:line="360" w:lineRule="auto"/>
        <w:ind w:firstLine="560" w:firstLineChars="200"/>
        <w:rPr>
          <w:rFonts w:hint="eastAsia" w:ascii="宋体" w:hAnsi="Times New Roman" w:eastAsia="宋体" w:cs="Times New Roman"/>
          <w:szCs w:val="21"/>
          <w:lang w:eastAsia="zh-CN"/>
        </w:rPr>
        <w:sectPr>
          <w:pgSz w:w="12240" w:h="15840"/>
          <w:pgMar w:top="1327" w:right="1519" w:bottom="1327" w:left="1519" w:header="720" w:footer="720" w:gutter="0"/>
          <w:cols w:space="720" w:num="1"/>
        </w:sectPr>
      </w:pPr>
      <w:r>
        <w:rPr>
          <w:rFonts w:hint="eastAsia" w:ascii="宋体" w:hAnsi="宋体" w:eastAsia="宋体" w:cs="宋体"/>
          <w:kern w:val="0"/>
          <w:sz w:val="28"/>
          <w:szCs w:val="28"/>
        </w:rPr>
        <w:t>8.出现其他违反法律法规及有关规定的行为，</w:t>
      </w:r>
      <w:r>
        <w:rPr>
          <w:rFonts w:hint="eastAsia" w:ascii="宋体" w:hAnsi="宋体" w:eastAsia="宋体" w:cs="Times New Roman"/>
          <w:color w:val="auto"/>
          <w:kern w:val="0"/>
          <w:sz w:val="28"/>
          <w:szCs w:val="28"/>
        </w:rPr>
        <w:t>不适合继</w:t>
      </w:r>
      <w:r>
        <w:rPr>
          <w:rFonts w:hint="eastAsia" w:ascii="宋体" w:hAnsi="宋体" w:eastAsia="宋体" w:cs="Times New Roman"/>
          <w:kern w:val="0"/>
          <w:sz w:val="28"/>
          <w:szCs w:val="28"/>
        </w:rPr>
        <w:t>续配送的</w:t>
      </w:r>
      <w:r>
        <w:rPr>
          <w:rFonts w:hint="eastAsia" w:hAnsi="宋体" w:cs="Times New Roman"/>
          <w:kern w:val="0"/>
          <w:sz w:val="28"/>
          <w:szCs w:val="28"/>
          <w:lang w:eastAsia="zh-CN"/>
        </w:rPr>
        <w:t>。</w:t>
      </w:r>
    </w:p>
    <w:tbl>
      <w:tblPr>
        <w:tblStyle w:val="2"/>
        <w:tblW w:w="130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5"/>
        <w:gridCol w:w="2895"/>
        <w:gridCol w:w="1600"/>
        <w:gridCol w:w="1366"/>
        <w:gridCol w:w="1755"/>
        <w:gridCol w:w="1336"/>
        <w:gridCol w:w="1662"/>
        <w:gridCol w:w="1488"/>
      </w:tblGrid>
      <w:tr w14:paraId="47897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3057" w:type="dxa"/>
            <w:gridSpan w:val="8"/>
            <w:tcBorders>
              <w:top w:val="nil"/>
              <w:left w:val="nil"/>
              <w:bottom w:val="nil"/>
              <w:right w:val="nil"/>
            </w:tcBorders>
            <w:shd w:val="clear" w:color="auto" w:fill="auto"/>
            <w:vAlign w:val="center"/>
          </w:tcPr>
          <w:p w14:paraId="2C4B6260">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旬阳市养老服务中心2026年食堂食材预算统计表（粮油类）</w:t>
            </w:r>
          </w:p>
        </w:tc>
      </w:tr>
      <w:tr w14:paraId="3B83B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955" w:type="dxa"/>
            <w:tcBorders>
              <w:top w:val="nil"/>
              <w:left w:val="nil"/>
              <w:bottom w:val="nil"/>
              <w:right w:val="nil"/>
            </w:tcBorders>
            <w:shd w:val="clear" w:color="auto" w:fill="auto"/>
            <w:vAlign w:val="center"/>
          </w:tcPr>
          <w:p w14:paraId="0504A1EC">
            <w:pPr>
              <w:jc w:val="center"/>
              <w:rPr>
                <w:rFonts w:hint="eastAsia" w:ascii="宋体" w:hAnsi="宋体" w:eastAsia="宋体" w:cs="宋体"/>
                <w:i w:val="0"/>
                <w:iCs w:val="0"/>
                <w:color w:val="000000"/>
                <w:sz w:val="22"/>
                <w:szCs w:val="22"/>
                <w:u w:val="none"/>
              </w:rPr>
            </w:pPr>
          </w:p>
        </w:tc>
        <w:tc>
          <w:tcPr>
            <w:tcW w:w="2895" w:type="dxa"/>
            <w:tcBorders>
              <w:top w:val="nil"/>
              <w:left w:val="nil"/>
              <w:bottom w:val="nil"/>
              <w:right w:val="nil"/>
            </w:tcBorders>
            <w:shd w:val="clear" w:color="auto" w:fill="auto"/>
            <w:vAlign w:val="center"/>
          </w:tcPr>
          <w:p w14:paraId="6BE3629F">
            <w:pPr>
              <w:jc w:val="center"/>
              <w:rPr>
                <w:rFonts w:hint="eastAsia" w:ascii="宋体" w:hAnsi="宋体" w:eastAsia="宋体" w:cs="宋体"/>
                <w:i w:val="0"/>
                <w:iCs w:val="0"/>
                <w:color w:val="000000"/>
                <w:sz w:val="22"/>
                <w:szCs w:val="22"/>
                <w:u w:val="none"/>
              </w:rPr>
            </w:pPr>
          </w:p>
        </w:tc>
        <w:tc>
          <w:tcPr>
            <w:tcW w:w="1600" w:type="dxa"/>
            <w:tcBorders>
              <w:top w:val="nil"/>
              <w:left w:val="nil"/>
              <w:bottom w:val="nil"/>
              <w:right w:val="nil"/>
            </w:tcBorders>
            <w:shd w:val="clear" w:color="auto" w:fill="auto"/>
            <w:vAlign w:val="center"/>
          </w:tcPr>
          <w:p w14:paraId="371CBDC4">
            <w:pPr>
              <w:jc w:val="center"/>
              <w:rPr>
                <w:rFonts w:hint="eastAsia" w:ascii="宋体" w:hAnsi="宋体" w:eastAsia="宋体" w:cs="宋体"/>
                <w:i w:val="0"/>
                <w:iCs w:val="0"/>
                <w:color w:val="000000"/>
                <w:sz w:val="22"/>
                <w:szCs w:val="22"/>
                <w:u w:val="none"/>
              </w:rPr>
            </w:pPr>
          </w:p>
        </w:tc>
        <w:tc>
          <w:tcPr>
            <w:tcW w:w="1366" w:type="dxa"/>
            <w:tcBorders>
              <w:top w:val="nil"/>
              <w:left w:val="nil"/>
              <w:bottom w:val="nil"/>
              <w:right w:val="nil"/>
            </w:tcBorders>
            <w:shd w:val="clear" w:color="auto" w:fill="auto"/>
            <w:vAlign w:val="center"/>
          </w:tcPr>
          <w:p w14:paraId="32B72FFC">
            <w:pPr>
              <w:jc w:val="center"/>
              <w:rPr>
                <w:rFonts w:hint="eastAsia" w:ascii="宋体" w:hAnsi="宋体" w:eastAsia="宋体" w:cs="宋体"/>
                <w:i w:val="0"/>
                <w:iCs w:val="0"/>
                <w:color w:val="000000"/>
                <w:sz w:val="22"/>
                <w:szCs w:val="22"/>
                <w:u w:val="none"/>
              </w:rPr>
            </w:pPr>
          </w:p>
        </w:tc>
        <w:tc>
          <w:tcPr>
            <w:tcW w:w="1755" w:type="dxa"/>
            <w:tcBorders>
              <w:top w:val="nil"/>
              <w:left w:val="nil"/>
              <w:bottom w:val="nil"/>
              <w:right w:val="nil"/>
            </w:tcBorders>
            <w:shd w:val="clear" w:color="auto" w:fill="auto"/>
            <w:vAlign w:val="center"/>
          </w:tcPr>
          <w:p w14:paraId="67821C25">
            <w:pPr>
              <w:jc w:val="center"/>
              <w:rPr>
                <w:rFonts w:hint="eastAsia" w:ascii="宋体" w:hAnsi="宋体" w:eastAsia="宋体" w:cs="宋体"/>
                <w:i w:val="0"/>
                <w:iCs w:val="0"/>
                <w:color w:val="000000"/>
                <w:sz w:val="22"/>
                <w:szCs w:val="22"/>
                <w:u w:val="none"/>
              </w:rPr>
            </w:pPr>
          </w:p>
        </w:tc>
        <w:tc>
          <w:tcPr>
            <w:tcW w:w="1336" w:type="dxa"/>
            <w:tcBorders>
              <w:top w:val="nil"/>
              <w:left w:val="nil"/>
              <w:bottom w:val="nil"/>
              <w:right w:val="nil"/>
            </w:tcBorders>
            <w:shd w:val="clear" w:color="auto" w:fill="auto"/>
            <w:vAlign w:val="center"/>
          </w:tcPr>
          <w:p w14:paraId="42BB5296">
            <w:pPr>
              <w:jc w:val="center"/>
              <w:rPr>
                <w:rFonts w:hint="eastAsia" w:ascii="宋体" w:hAnsi="宋体" w:eastAsia="宋体" w:cs="宋体"/>
                <w:i w:val="0"/>
                <w:iCs w:val="0"/>
                <w:color w:val="000000"/>
                <w:sz w:val="22"/>
                <w:szCs w:val="22"/>
                <w:u w:val="none"/>
              </w:rPr>
            </w:pPr>
          </w:p>
        </w:tc>
        <w:tc>
          <w:tcPr>
            <w:tcW w:w="1662" w:type="dxa"/>
            <w:tcBorders>
              <w:top w:val="nil"/>
              <w:left w:val="nil"/>
              <w:bottom w:val="nil"/>
              <w:right w:val="nil"/>
            </w:tcBorders>
            <w:shd w:val="clear" w:color="auto" w:fill="auto"/>
            <w:vAlign w:val="center"/>
          </w:tcPr>
          <w:p w14:paraId="7BC84F5E">
            <w:pPr>
              <w:jc w:val="center"/>
              <w:rPr>
                <w:rFonts w:hint="eastAsia" w:ascii="宋体" w:hAnsi="宋体" w:eastAsia="宋体" w:cs="宋体"/>
                <w:i w:val="0"/>
                <w:iCs w:val="0"/>
                <w:color w:val="000000"/>
                <w:sz w:val="22"/>
                <w:szCs w:val="22"/>
                <w:u w:val="none"/>
              </w:rPr>
            </w:pPr>
          </w:p>
        </w:tc>
        <w:tc>
          <w:tcPr>
            <w:tcW w:w="1488" w:type="dxa"/>
            <w:tcBorders>
              <w:top w:val="nil"/>
              <w:left w:val="nil"/>
              <w:bottom w:val="nil"/>
              <w:right w:val="nil"/>
            </w:tcBorders>
            <w:shd w:val="clear" w:color="auto" w:fill="auto"/>
            <w:vAlign w:val="center"/>
          </w:tcPr>
          <w:p w14:paraId="0BCA3FD3">
            <w:pPr>
              <w:jc w:val="center"/>
              <w:rPr>
                <w:rFonts w:hint="eastAsia" w:ascii="宋体" w:hAnsi="宋体" w:eastAsia="宋体" w:cs="宋体"/>
                <w:i w:val="0"/>
                <w:iCs w:val="0"/>
                <w:color w:val="000000"/>
                <w:sz w:val="22"/>
                <w:szCs w:val="22"/>
                <w:u w:val="none"/>
              </w:rPr>
            </w:pPr>
          </w:p>
        </w:tc>
      </w:tr>
      <w:tr w14:paraId="3D00C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3850" w:type="dxa"/>
            <w:gridSpan w:val="2"/>
            <w:vMerge w:val="restart"/>
            <w:tcBorders>
              <w:top w:val="single" w:color="000000" w:sz="4" w:space="0"/>
              <w:left w:val="single" w:color="000000" w:sz="4" w:space="0"/>
              <w:bottom w:val="single" w:color="000000" w:sz="4" w:space="0"/>
              <w:right w:val="single" w:color="000000" w:sz="4" w:space="0"/>
              <w:tl2br w:val="single" w:color="000000" w:sz="4" w:space="0"/>
            </w:tcBorders>
            <w:shd w:val="clear" w:color="auto" w:fill="auto"/>
            <w:vAlign w:val="center"/>
          </w:tcPr>
          <w:p w14:paraId="4B6305BD">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Style w:val="5"/>
                <w:lang w:val="en-US" w:eastAsia="zh-CN" w:bidi="ar"/>
              </w:rPr>
              <w:t xml:space="preserve">种类         </w:t>
            </w:r>
            <w:r>
              <w:rPr>
                <w:rFonts w:hint="eastAsia" w:ascii="宋体" w:hAnsi="宋体" w:eastAsia="宋体" w:cs="宋体"/>
                <w:b/>
                <w:bCs/>
                <w:i w:val="0"/>
                <w:iCs w:val="0"/>
                <w:color w:val="000000"/>
                <w:kern w:val="0"/>
                <w:sz w:val="32"/>
                <w:szCs w:val="32"/>
                <w:u w:val="none"/>
                <w:vertAlign w:val="superscript"/>
                <w:lang w:val="en-US" w:eastAsia="zh-CN" w:bidi="ar"/>
              </w:rPr>
              <w:t>分区</w:t>
            </w:r>
          </w:p>
        </w:tc>
        <w:tc>
          <w:tcPr>
            <w:tcW w:w="2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4DD31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北区</w:t>
            </w:r>
          </w:p>
        </w:tc>
        <w:tc>
          <w:tcPr>
            <w:tcW w:w="30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F822C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东区</w:t>
            </w:r>
          </w:p>
        </w:tc>
        <w:tc>
          <w:tcPr>
            <w:tcW w:w="31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F05D5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南区</w:t>
            </w:r>
          </w:p>
        </w:tc>
      </w:tr>
      <w:tr w14:paraId="1F68F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3850" w:type="dxa"/>
            <w:gridSpan w:val="2"/>
            <w:vMerge w:val="continue"/>
            <w:tcBorders>
              <w:top w:val="single" w:color="000000" w:sz="4" w:space="0"/>
              <w:left w:val="single" w:color="000000" w:sz="4" w:space="0"/>
              <w:bottom w:val="single" w:color="000000" w:sz="4" w:space="0"/>
              <w:right w:val="single" w:color="000000" w:sz="4" w:space="0"/>
              <w:tl2br w:val="single" w:color="000000" w:sz="4" w:space="0"/>
            </w:tcBorders>
            <w:shd w:val="clear" w:color="auto" w:fill="auto"/>
            <w:vAlign w:val="center"/>
          </w:tcPr>
          <w:p w14:paraId="2DDAAB6C">
            <w:pPr>
              <w:jc w:val="center"/>
              <w:rPr>
                <w:rFonts w:hint="eastAsia" w:ascii="宋体" w:hAnsi="宋体" w:eastAsia="宋体" w:cs="宋体"/>
                <w:b/>
                <w:bCs/>
                <w:i w:val="0"/>
                <w:iCs w:val="0"/>
                <w:color w:val="000000"/>
                <w:sz w:val="32"/>
                <w:szCs w:val="32"/>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2E89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单价最高限价（元/千克）</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9B5A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A9A9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单价最高限价（元/千克）</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5195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C3FA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单价最高限价（元/千克）</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89B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0087A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FFFEE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大米</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A54B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5.86</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EB1E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26300.34</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AFC1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5.86</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257B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28105.8</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6A57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5.86</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32F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30853.24</w:t>
            </w:r>
          </w:p>
        </w:tc>
      </w:tr>
      <w:tr w14:paraId="5C36D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63321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面粉</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A861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3.98</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7FF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75125.63</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7DF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3.98</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B6A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72462.31</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0B1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3.98</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DE3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52776.38</w:t>
            </w:r>
          </w:p>
        </w:tc>
      </w:tr>
      <w:tr w14:paraId="7EAA9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85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55221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食用油</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256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14.76</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AEDD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16509.49</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EA50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14.76</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4FDD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18215.45</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1E53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14.76</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177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15516.26</w:t>
            </w:r>
          </w:p>
        </w:tc>
      </w:tr>
      <w:tr w14:paraId="6B3EA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A4BF3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杂粮</w:t>
            </w: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0395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小米</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A099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6.8</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DDBF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3369.9</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18D1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6.8</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D099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3939.95</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36B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6.8</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6DB4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4309.76</w:t>
            </w:r>
          </w:p>
        </w:tc>
      </w:tr>
      <w:tr w14:paraId="0EFEF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7ACCA">
            <w:pPr>
              <w:jc w:val="center"/>
              <w:rPr>
                <w:rFonts w:hint="eastAsia" w:ascii="宋体" w:hAnsi="宋体" w:eastAsia="宋体" w:cs="宋体"/>
                <w:b/>
                <w:bCs/>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EFF0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玉米糁</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46E0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3.2</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B1CA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5729.32</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5C39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3.2</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3DB6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6698.47</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B2A7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3.2</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BA93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7327.19</w:t>
            </w:r>
          </w:p>
        </w:tc>
      </w:tr>
      <w:tr w14:paraId="35351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4359A0">
            <w:pPr>
              <w:jc w:val="center"/>
              <w:rPr>
                <w:rFonts w:hint="eastAsia" w:ascii="宋体" w:hAnsi="宋体" w:eastAsia="宋体" w:cs="宋体"/>
                <w:b/>
                <w:bCs/>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90C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燕麦片（麦片）</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04AA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6.5</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4147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2116.31</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9997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6.5</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C77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2474.3</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F302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6.5</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96A5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2706.55</w:t>
            </w:r>
          </w:p>
        </w:tc>
      </w:tr>
      <w:tr w14:paraId="1F6F0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27257">
            <w:pPr>
              <w:jc w:val="center"/>
              <w:rPr>
                <w:rFonts w:hint="eastAsia" w:ascii="宋体" w:hAnsi="宋体" w:eastAsia="宋体" w:cs="宋体"/>
                <w:b/>
                <w:bCs/>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6768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八宝米</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A349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7.2</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BFB8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1272.66</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2C08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7.2</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1667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1487.93</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96E3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7.2</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F39B">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1627.6</w:t>
            </w:r>
          </w:p>
        </w:tc>
      </w:tr>
      <w:tr w14:paraId="425D0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1AB674">
            <w:pPr>
              <w:jc w:val="center"/>
              <w:rPr>
                <w:rFonts w:hint="eastAsia" w:ascii="宋体" w:hAnsi="宋体" w:eastAsia="宋体" w:cs="宋体"/>
                <w:b/>
                <w:bCs/>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B441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红小豆（红豆）</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BA72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11.6</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34B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633.94</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97D6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11.6</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7C5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741.18</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26C2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11.6</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C9B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810.76</w:t>
            </w:r>
          </w:p>
        </w:tc>
      </w:tr>
      <w:tr w14:paraId="5A800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6570F">
            <w:pPr>
              <w:jc w:val="center"/>
              <w:rPr>
                <w:rFonts w:hint="eastAsia" w:ascii="宋体" w:hAnsi="宋体" w:eastAsia="宋体" w:cs="宋体"/>
                <w:b/>
                <w:bCs/>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9828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绿豆</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6CB3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7.6</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D900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843.67</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E9C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7.6</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7234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986.38</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591E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7.6</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AD81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1078.96</w:t>
            </w:r>
          </w:p>
        </w:tc>
      </w:tr>
      <w:tr w14:paraId="5CB8A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AA673">
            <w:pPr>
              <w:jc w:val="center"/>
              <w:rPr>
                <w:rFonts w:hint="eastAsia" w:ascii="宋体" w:hAnsi="宋体" w:eastAsia="宋体" w:cs="宋体"/>
                <w:b/>
                <w:bCs/>
                <w:i w:val="0"/>
                <w:iCs w:val="0"/>
                <w:color w:val="000000"/>
                <w:sz w:val="24"/>
                <w:szCs w:val="24"/>
                <w:u w:val="none"/>
              </w:rPr>
            </w:pPr>
          </w:p>
        </w:tc>
        <w:tc>
          <w:tcPr>
            <w:tcW w:w="28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2EDA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其他杂粮（黄豆、黑豆、薏米等）</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A582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w:t>
            </w:r>
          </w:p>
        </w:tc>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186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2292.68</w:t>
            </w:r>
          </w:p>
        </w:tc>
        <w:tc>
          <w:tcPr>
            <w:tcW w:w="17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E445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8B32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2680.5</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021A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6</w:t>
            </w:r>
          </w:p>
        </w:tc>
        <w:tc>
          <w:tcPr>
            <w:tcW w:w="1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82D1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2932.1</w:t>
            </w:r>
          </w:p>
        </w:tc>
      </w:tr>
    </w:tbl>
    <w:p w14:paraId="06E6FB9D">
      <w:bookmarkStart w:id="0" w:name="_GoBack"/>
      <w:bookmarkEnd w:id="0"/>
    </w:p>
    <w:sectPr>
      <w:pgSz w:w="16838" w:h="11906" w:orient="landscape"/>
      <w:pgMar w:top="1689" w:right="1327" w:bottom="1689" w:left="132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17A7284"/>
    <w:rsid w:val="4C3436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3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章节标题（第X章）"/>
    <w:basedOn w:val="1"/>
    <w:qFormat/>
    <w:uiPriority w:val="0"/>
    <w:pPr>
      <w:spacing w:line="240" w:lineRule="auto"/>
      <w:jc w:val="center"/>
      <w:outlineLvl w:val="0"/>
    </w:pPr>
    <w:rPr>
      <w:rFonts w:eastAsia="黑体"/>
      <w:sz w:val="36"/>
    </w:rPr>
  </w:style>
  <w:style w:type="character" w:customStyle="1" w:styleId="5">
    <w:name w:val="font31"/>
    <w:basedOn w:val="3"/>
    <w:qFormat/>
    <w:uiPriority w:val="0"/>
    <w:rPr>
      <w:rFonts w:hint="eastAsia" w:ascii="宋体" w:hAnsi="宋体" w:eastAsia="宋体" w:cs="宋体"/>
      <w:b/>
      <w:bCs/>
      <w:color w:val="000000"/>
      <w:sz w:val="32"/>
      <w:szCs w:val="32"/>
      <w:u w:val="none"/>
      <w:vertAlign w:val="sub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2026-07-14T09:07:56Z</dcterms:created>
  <dc:creator>Administrator</dc:creator>
  <cp:lastModifiedBy>依木乖乖秀</cp:lastModifiedBy>
  <dcterms:modified xsi:type="dcterms:W3CDTF">2026-07-14T09:09:14Z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eyJoZGlkIjoiYjQ0NDJjMWRiNWU3NWQ1OWFlOTI4MDY4NGQ2ZjY4NzQiLCJ1c2VySWQiOiIyMzA3MjI5MDkifQ==</vt:lpwstr>
  </property>
  <property fmtid="{D5CDD505-2E9C-101B-9397-08002B2CF9AE}" pid="4" name="ICV">
    <vt:lpwstr>C0E495B60667440895C012B4A6B254C4_12</vt:lpwstr>
  </property>
</Properties>
</file>