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62B50">
      <w:pPr>
        <w:snapToGrid w:val="0"/>
        <w:spacing w:line="50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DBFC3C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本次采购项目为高新校区采购校园安保服务项目</w:t>
      </w:r>
      <w:r>
        <w:rPr>
          <w:rFonts w:hint="eastAsia" w:ascii="仿宋" w:hAnsi="仿宋" w:eastAsia="仿宋" w:cs="Times New Roman"/>
          <w:color w:val="auto"/>
          <w:lang w:eastAsia="zh-CN"/>
        </w:rPr>
        <w:t>采购</w:t>
      </w:r>
      <w:r>
        <w:rPr>
          <w:rFonts w:hint="eastAsia" w:ascii="仿宋" w:hAnsi="仿宋" w:eastAsia="仿宋" w:cs="Times New Roman"/>
          <w:color w:val="auto"/>
        </w:rPr>
        <w:t>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03BD1125">
      <w:pPr>
        <w:ind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采购需求</w:t>
      </w:r>
    </w:p>
    <w:p w14:paraId="2B748A4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（一）项目总体概况</w:t>
      </w:r>
    </w:p>
    <w:p w14:paraId="434E3B2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本项目为榆林职业技术学院高新校区安保服务项目，服务地点为高新校区全域范围，包含各出入口、教学区、办公楼、艺术学院校区、生活区、围墙周边及公共区域。为全面强化校园治安防控、出入管控、消防安全、应急处置、秩序维护，保障全校师生人身及财产安全，委托专业安保服务单位实行统一规范化管理。</w:t>
      </w:r>
    </w:p>
    <w:p w14:paraId="1EFF918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本项目固定配置人员共计46人，定岗定责、24小时不间断值守，岗位配置严格按照校区出入口、功能区域划分。本项目包含但不限于人员工资、社会养老保险、失业保险、医疗保险、工伤保险、大病保险、生育保险、职工劳保、管理费、服装器械费、取暖费、降温费、职工教育经费、税金、意外伤害险、福利费、加班费等费用全部由中标供应商负担，与榆林职业技术学院无关。</w:t>
      </w:r>
    </w:p>
    <w:p w14:paraId="76853BB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（二）保安服务人员总体要求</w:t>
      </w:r>
    </w:p>
    <w:p w14:paraId="434F966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1、具有中华人民共和国国籍；</w:t>
      </w:r>
    </w:p>
    <w:p w14:paraId="7BAC5FB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2、符合《保安服务管理条例》中对保安员的各项要求；</w:t>
      </w:r>
    </w:p>
    <w:p w14:paraId="0D83654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3、保安人员，男性，共45人，身高1.70米以上，年龄55周岁以下，身体健康；</w:t>
      </w:r>
    </w:p>
    <w:p w14:paraId="383B119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4、供应商应派驻1名项目经理；</w:t>
      </w:r>
    </w:p>
    <w:p w14:paraId="40B856D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5、全员三班制，24小时无空档安防管控，维护现场秩序、纠正违法行为、治安事件、突发事件、道路交通、门禁管理、监控值守、巡逻、突发消防等工作，是学院分派的临时工作。</w:t>
      </w:r>
      <w:bookmarkStart w:id="1" w:name="_GoBack"/>
      <w:bookmarkEnd w:id="1"/>
    </w:p>
    <w:p w14:paraId="00108BC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6、采购人有权提出更换不符合使用要求或违反采购人工作制度、损害采购人利益的保安人员。采购人提出更换要求并与中标供应商协商，协商完成后中标供应商应在3个工作日内予以更换；</w:t>
      </w:r>
    </w:p>
    <w:p w14:paraId="520758A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7、供应商就本项目所派驻的全部保安人员必须专职服务本项目，服务期间保安人员必须固定。在不违反《中华人民共和国劳动法》相关规定及采购人要求的前提下，供应商可适当进行人员调配；</w:t>
      </w:r>
    </w:p>
    <w:p w14:paraId="4DD615C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8、供应商应为保安员按要求配备统一的保安标识、标志和装备；</w:t>
      </w:r>
    </w:p>
    <w:p w14:paraId="2055EA4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9、供应商应对保安人员进行法律法规、保安专业知识和技能培训；</w:t>
      </w:r>
    </w:p>
    <w:p w14:paraId="4328130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10、遵守宪法和法律，政治坚定、品行端正；</w:t>
      </w:r>
    </w:p>
    <w:p w14:paraId="02C8445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11、保安人员必须遵守采购人的各项工作制度。</w:t>
      </w:r>
    </w:p>
    <w:p w14:paraId="4B6D80F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（三）人员配置表</w:t>
      </w:r>
    </w:p>
    <w:p w14:paraId="3205CD1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</w:p>
    <w:tbl>
      <w:tblPr>
        <w:tblStyle w:val="2"/>
        <w:tblW w:w="507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7"/>
        <w:gridCol w:w="1504"/>
        <w:gridCol w:w="1339"/>
        <w:gridCol w:w="4492"/>
      </w:tblGrid>
      <w:tr w14:paraId="251AE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A69B6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岗位类别</w:t>
            </w: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A26AA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细分岗位</w:t>
            </w:r>
          </w:p>
        </w:tc>
        <w:tc>
          <w:tcPr>
            <w:tcW w:w="772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6205D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配置人数</w:t>
            </w:r>
          </w:p>
        </w:tc>
        <w:tc>
          <w:tcPr>
            <w:tcW w:w="258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17E67C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岗位技术要求及工作参数</w:t>
            </w:r>
          </w:p>
        </w:tc>
      </w:tr>
      <w:tr w14:paraId="02BC2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A3A614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管理岗位</w:t>
            </w: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01FB5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项目经理</w:t>
            </w:r>
          </w:p>
        </w:tc>
        <w:tc>
          <w:tcPr>
            <w:tcW w:w="772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4898A81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1人</w:t>
            </w:r>
          </w:p>
        </w:tc>
        <w:tc>
          <w:tcPr>
            <w:tcW w:w="258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8F8A41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全天驻场，负责团队管理、日常巡查、对接校方、考核人员、隐患整改，具备高校安保管理经验。</w:t>
            </w:r>
          </w:p>
        </w:tc>
      </w:tr>
      <w:tr w14:paraId="6EAD8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vMerge w:val="restar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AAAC2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门岗值守岗</w:t>
            </w: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7F2547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南门门卫</w:t>
            </w:r>
          </w:p>
        </w:tc>
        <w:tc>
          <w:tcPr>
            <w:tcW w:w="772" w:type="pct"/>
            <w:vMerge w:val="restar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EDED40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</w:t>
            </w:r>
          </w:p>
        </w:tc>
        <w:tc>
          <w:tcPr>
            <w:tcW w:w="2588" w:type="pct"/>
            <w:vMerge w:val="restar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672707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实行三班制，高峰双人值守、平峰轮岗；严格治安防范、火警观测、人车物查验、来访登记、违禁品排查、突发事件处置；着装统一、站姿规范，严禁脱岗、闲聊、玩手机。</w:t>
            </w:r>
          </w:p>
        </w:tc>
      </w:tr>
      <w:tr w14:paraId="1A084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450A0F">
            <w:pPr>
              <w:rPr>
                <w:rFonts w:hint="eastAsia"/>
              </w:rPr>
            </w:pP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5938CE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北门门卫</w:t>
            </w:r>
          </w:p>
        </w:tc>
        <w:tc>
          <w:tcPr>
            <w:tcW w:w="772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16B438">
            <w:pPr>
              <w:jc w:val="center"/>
              <w:rPr>
                <w:rFonts w:hint="eastAsia"/>
              </w:rPr>
            </w:pPr>
          </w:p>
        </w:tc>
        <w:tc>
          <w:tcPr>
            <w:tcW w:w="2588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5081A5">
            <w:pPr>
              <w:rPr>
                <w:rFonts w:hint="eastAsia"/>
              </w:rPr>
            </w:pPr>
          </w:p>
        </w:tc>
      </w:tr>
      <w:tr w14:paraId="3F429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447C32">
            <w:pPr>
              <w:rPr>
                <w:rFonts w:hint="eastAsia"/>
              </w:rPr>
            </w:pP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78A2D6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西门门卫</w:t>
            </w:r>
          </w:p>
        </w:tc>
        <w:tc>
          <w:tcPr>
            <w:tcW w:w="772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722F3B">
            <w:pPr>
              <w:jc w:val="center"/>
              <w:rPr>
                <w:rFonts w:hint="eastAsia"/>
              </w:rPr>
            </w:pPr>
          </w:p>
        </w:tc>
        <w:tc>
          <w:tcPr>
            <w:tcW w:w="2588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0423C3">
            <w:pPr>
              <w:rPr>
                <w:rFonts w:hint="eastAsia"/>
              </w:rPr>
            </w:pPr>
          </w:p>
        </w:tc>
      </w:tr>
      <w:tr w14:paraId="0E6D1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567901">
            <w:pPr>
              <w:rPr>
                <w:rFonts w:hint="eastAsia"/>
              </w:rPr>
            </w:pP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EE496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办公楼门卫</w:t>
            </w:r>
          </w:p>
        </w:tc>
        <w:tc>
          <w:tcPr>
            <w:tcW w:w="772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D016DA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4人</w:t>
            </w:r>
          </w:p>
        </w:tc>
        <w:tc>
          <w:tcPr>
            <w:tcW w:w="2588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A321AB">
            <w:pPr>
              <w:rPr>
                <w:rFonts w:hint="eastAsia"/>
              </w:rPr>
            </w:pPr>
          </w:p>
        </w:tc>
      </w:tr>
      <w:tr w14:paraId="1A0A3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921B5F">
            <w:pPr>
              <w:rPr>
                <w:rFonts w:hint="eastAsia"/>
              </w:rPr>
            </w:pP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F42824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艺术学院校区门卫</w:t>
            </w:r>
          </w:p>
        </w:tc>
        <w:tc>
          <w:tcPr>
            <w:tcW w:w="772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FBDDEB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6人</w:t>
            </w:r>
          </w:p>
        </w:tc>
        <w:tc>
          <w:tcPr>
            <w:tcW w:w="2588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A7FE8B9">
            <w:pPr>
              <w:rPr>
                <w:rFonts w:hint="eastAsia"/>
              </w:rPr>
            </w:pPr>
          </w:p>
        </w:tc>
      </w:tr>
      <w:tr w14:paraId="219D5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D1D96B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动态巡逻岗</w:t>
            </w: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59364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巡逻安保</w:t>
            </w:r>
          </w:p>
        </w:tc>
        <w:tc>
          <w:tcPr>
            <w:tcW w:w="772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B7BFD9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7人</w:t>
            </w:r>
          </w:p>
        </w:tc>
        <w:tc>
          <w:tcPr>
            <w:tcW w:w="258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4471F1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 w:eastAsia="zh-CN"/>
              </w:rPr>
              <w:t>全域循环巡逻，重点巡查围墙、边角、夜间宿舍、火灾隐患、偏僻区域；每日固定巡逻频次，做好巡逻台账，及时排查安全隐患，突发事件处置</w:t>
            </w:r>
          </w:p>
        </w:tc>
      </w:tr>
      <w:tr w14:paraId="43D75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771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CC8A8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监控值守岗</w:t>
            </w:r>
          </w:p>
        </w:tc>
        <w:tc>
          <w:tcPr>
            <w:tcW w:w="86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320F2F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监控值班</w:t>
            </w:r>
          </w:p>
        </w:tc>
        <w:tc>
          <w:tcPr>
            <w:tcW w:w="772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0C31E3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4人</w:t>
            </w:r>
          </w:p>
        </w:tc>
        <w:tc>
          <w:tcPr>
            <w:tcW w:w="258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0B0BC8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24小时监控室值守，实时巡查画面、回放备查、异常上报、火灾隐患监控、设备看管，留存监控值班台账</w:t>
            </w:r>
          </w:p>
        </w:tc>
      </w:tr>
      <w:tr w14:paraId="661A2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1638" w:type="pct"/>
            <w:gridSpan w:val="2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4B7E0CE"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3361" w:type="pct"/>
            <w:gridSpan w:val="2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C111DC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46人</w:t>
            </w:r>
          </w:p>
        </w:tc>
      </w:tr>
      <w:tr w14:paraId="5F2B9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584" w:hRule="atLeast"/>
          <w:jc w:val="center"/>
        </w:trPr>
        <w:tc>
          <w:tcPr>
            <w:tcW w:w="5000" w:type="pct"/>
            <w:gridSpan w:val="4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77CD0B">
            <w:pPr>
              <w:spacing w:line="360" w:lineRule="auto"/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:1.供应商中标后上岗前需提供所有人员的健康证。2.以上人员上岗时提供身份证明由采购人核验年龄。3以上人员上岗时提供三无证明（无违法犯罪记录证明、无违纪记录证明、无参加邪教及非法组织证明）。4.有身高要求的上岗前由采购人面试。</w:t>
            </w:r>
          </w:p>
        </w:tc>
      </w:tr>
    </w:tbl>
    <w:p w14:paraId="013AA4B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（四）安保服务项目要求</w:t>
      </w:r>
    </w:p>
    <w:p w14:paraId="01066EB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1.总体服务要求：</w:t>
      </w:r>
    </w:p>
    <w:p w14:paraId="4FEFBF8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（1）供应商应针对本项目建立服务方案以及组织架构、人员录用等内容的规章制度，在实施前向采购人报告。采购人有权审核及提出修改意见。</w:t>
      </w:r>
    </w:p>
    <w:p w14:paraId="7D3C13B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（2）供应商应指派专职人员进行工作接洽和日常工作管理，并派出专人对派出安保人员进行经常性的检查督促。</w:t>
      </w:r>
    </w:p>
    <w:p w14:paraId="7D2A7F4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（3）在不违反劳动法相关规定和服务合同的前提下，采购人可根据工作实际对服务内容进行增减和细化。</w:t>
      </w:r>
    </w:p>
    <w:p w14:paraId="1B9B725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（4）采购人与派驻安保人员不发生任何劳动和雇佣关系，派驻安保人员由中标供应商自行管理。</w:t>
      </w:r>
    </w:p>
    <w:p w14:paraId="44C8202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（5）供应商应与安保人员签订符合规定的用工合同，并严格按照国家及省市的相关劳动法规和保险条例，为安保人员提供完善的劳动权益保障。</w:t>
      </w:r>
    </w:p>
    <w:p w14:paraId="6D01876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（6）根据工作需要，采购人对供应商派出的安保人员有直接指挥权。</w:t>
      </w:r>
    </w:p>
    <w:p w14:paraId="1E1AB6F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（7）供应商不得将项目分包或非法转包给任何单位和个人，否则采购人</w:t>
      </w:r>
      <w:bookmarkStart w:id="0" w:name="（二）人员要求"/>
      <w:bookmarkEnd w:id="0"/>
      <w:r>
        <w:rPr>
          <w:rFonts w:hint="eastAsia" w:ascii="仿宋" w:hAnsi="仿宋" w:eastAsia="仿宋" w:cs="Times New Roman"/>
          <w:color w:val="auto"/>
          <w:lang w:val="en-US" w:eastAsia="zh-CN"/>
        </w:rPr>
        <w:t>有权立即终止合同，相应损失和责任由中标供应商承担。</w:t>
      </w:r>
    </w:p>
    <w:p w14:paraId="3328078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2.具体工作要求</w:t>
      </w:r>
    </w:p>
    <w:p w14:paraId="3E5062F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（1）、门岗管控要求</w:t>
      </w:r>
    </w:p>
    <w:p w14:paraId="5F9DA9A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严格落实入校查验制度，外来人员、车辆实名登记，禁止无关人员、闲散人员入校。严禁易燃易爆、管制器具、危险违禁物品带入校园。通勤高峰加强值守，疏导车流人流，维护门口秩序。</w:t>
      </w:r>
    </w:p>
    <w:p w14:paraId="6769E0C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（2）、巡逻防控要求</w:t>
      </w:r>
    </w:p>
    <w:p w14:paraId="5E4646A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制定固定巡逻路线，白天常态化巡逻，夜间加密巡逻频次。重点排查围墙攀爬、门窗破损、消防隐患、可疑人员逗留等风险。巡逻全程留痕，做好巡逻台账，遇突发情况第一时间上报处置。</w:t>
      </w:r>
    </w:p>
    <w:p w14:paraId="2497D13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（3）、监控值守要求</w:t>
      </w:r>
    </w:p>
    <w:p w14:paraId="339F853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监控室实行24小时专人值守，不得空岗、睡岗。发现画面异常、冲突聚集、安全隐患立即上报并联动现场安保处置。配合校方做好视频调取、留存、备查工作。</w:t>
      </w:r>
    </w:p>
    <w:p w14:paraId="4900215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（4）、应急处置要求</w:t>
      </w:r>
    </w:p>
    <w:p w14:paraId="2A8FF34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每季度至少开展一次反恐防暴应急演练，提升队伍处置能力。突发事件做到快速响应、现场管控、及时上报、妥善处置。</w:t>
      </w:r>
    </w:p>
    <w:p w14:paraId="7A77B8B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（五）其他服务要求</w:t>
      </w:r>
    </w:p>
    <w:p w14:paraId="18AB6CE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1.服务单位无条件配合学校完成大型活动安保、临时维稳、专项排查、节假日值守等工作。</w:t>
      </w:r>
    </w:p>
    <w:p w14:paraId="1342C68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2.所有安保器材、防护装备由中标单位自行配备、定期维保。</w:t>
      </w:r>
    </w:p>
    <w:p w14:paraId="1062366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3.服从学校保卫处统一管理，接受校方监督、检查、考核，对校方提出整改要求限时闭环整改。</w:t>
      </w:r>
    </w:p>
    <w:p w14:paraId="5BCC374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4.服务期内因管理疏漏、人员失职造成校园财产损失、安全事故，由受托安保单位承担全部责任。</w:t>
      </w:r>
    </w:p>
    <w:p w14:paraId="1F9DC0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7E107D"/>
    <w:rsid w:val="757E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2026-08-03T01:54:00Z</dcterms:created>
  <dc:creator>磐</dc:creator>
  <cp:lastModifiedBy>磐</cp:lastModifiedBy>
  <dcterms:modified xsi:type="dcterms:W3CDTF">2026-08-03T01:55:17Z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E06469511CCD417797DD0EDF117E4448_11</vt:lpwstr>
  </property>
  <property fmtid="{D5CDD505-2E9C-101B-9397-08002B2CF9AE}" pid="4" name="KSOTemplateDocerSaveRecord">
    <vt:lpwstr>eyJoZGlkIjoiMzZmNTRjMDVlNDI1YTg0MDE1Yjc5MmU0MmIyNTY3ZjQiLCJ1c2VySWQiOiI0NTY5OTM1ODUifQ==</vt:lpwstr>
  </property>
</Properties>
</file>