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版本号：政采-大荔县-2026-0013220260702003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全流程无纸化办案及电子卷宗随案生成服务项目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政采-大荔县-2026-00132</w:t>
      </w:r>
      <w:r>
        <w:br/>
      </w:r>
      <w:r>
        <w:br/>
      </w:r>
      <w:r>
        <w:br/>
      </w:r>
    </w:p>
    <w:p>
      <w:pPr>
        <w:pStyle w:val="null3"/>
        <w:jc w:val="center"/>
        <w:outlineLvl w:val="2"/>
      </w:pPr>
      <w:r>
        <w:rPr>
          <w:rFonts w:ascii="仿宋_GB2312" w:hAnsi="仿宋_GB2312" w:cs="仿宋_GB2312" w:eastAsia="仿宋_GB2312"/>
          <w:sz w:val="28"/>
          <w:b/>
        </w:rPr>
        <w:t>大荔县人民法院</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大荔县人民法院</w:t>
      </w:r>
      <w:r>
        <w:rPr>
          <w:rFonts w:ascii="仿宋_GB2312" w:hAnsi="仿宋_GB2312" w:cs="仿宋_GB2312" w:eastAsia="仿宋_GB2312"/>
        </w:rPr>
        <w:t>委托，拟对</w:t>
      </w:r>
      <w:r>
        <w:rPr>
          <w:rFonts w:ascii="仿宋_GB2312" w:hAnsi="仿宋_GB2312" w:cs="仿宋_GB2312" w:eastAsia="仿宋_GB2312"/>
        </w:rPr>
        <w:t>全流程无纸化办案及电子卷宗随案生成服务项目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政采-大荔县-2026-00132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全流程无纸化办案及电子卷宗随案生成服务项目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完成立案、审判、执行各环节当事人提交的诉讼材料及案件办理过程中形成的文件扫描上传、电子材料归目、材料的移送、接收和保管等工作。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采购包1（全流程无纸化办案及电子卷宗随案生成服务）：属于专门面向中小企业采购。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1、法定代表人身份证明/被授权人委托书：法定代表人参与磋商时需提供法定代表人身份证明书；被授权人参与磋商时需提供法定代表人授权委托书；</w:t>
      </w:r>
    </w:p>
    <w:p>
      <w:pPr>
        <w:pStyle w:val="null3"/>
      </w:pPr>
      <w:r>
        <w:rPr>
          <w:rFonts w:ascii="仿宋_GB2312" w:hAnsi="仿宋_GB2312" w:cs="仿宋_GB2312" w:eastAsia="仿宋_GB2312"/>
        </w:rPr>
        <w:t>2、供应商资质：须具有省级及以上国家保密局颁发的乙级及以上的涉密档案数字化加工的“国家秘密载体印制资质证书”且在有效期内，外省企业需在陕西省国家保密局备案（甲级资质无需备案）；</w:t>
      </w:r>
    </w:p>
    <w:p>
      <w:pPr>
        <w:pStyle w:val="null3"/>
      </w:pPr>
      <w:r>
        <w:rPr>
          <w:rFonts w:ascii="仿宋_GB2312" w:hAnsi="仿宋_GB2312" w:cs="仿宋_GB2312" w:eastAsia="仿宋_GB2312"/>
        </w:rPr>
        <w:t>3、信用信息：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4、无控股、管理关系：单位负责人为同一人或者存在直接控股、管理关系的不同供应商，不得同时参加同一合同项下的政府采购活动。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大荔县城关镇府门前</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0913-3256410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19991640961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委关于进⼀步放开建设项⽬专业服务价格的通知》（发改价格﹝2015﹞299号）的要求，参照计价格﹝2002﹞1980号、发改价格﹝2011﹞534号⽂件的计费标准，以中标（成交）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大荔县人民法院</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大荔县人民法院</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将在采购项⽬实施过程中采⽤⾃有或者第三⽅知识成果的，使⽤该知识成果后，供应商需提供开发接⼝和开发⼿册等技术资料，并承诺提供⽆限期⽀持，采购⼈享有使⽤权（含采购⼈委托第三⽅在该项⽬后续开发的使⽤权）；2、如采⽤供应商所不拥有的知识产权，则在报价中必须包括合法使⽤该知识产权的相关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1.验收⽅法：服务内容完成情况、服务质量与效果、项⽬成果资料、资⾦使⽤合规性、合同履⾏期限。 2.验收程序：（1）同步⽣成⼀致性：检查各阶段电⼦卷宗是否与纸质卷宗内容⼀致、是否做到随收随扫随⽣成，确保⽴案、审理、归档各节点同步完成； （2）质量指标达标：核对扫描图像清晰度、完整度、编⽬挂接准确率是否符合规范要求，是否满⾜最⾼⼈⺠法院电⼦诉讼⽂件归档标准；（3） 功能深度应⽤：核查电⼦卷宗是否实现辅助阅卷、庭审标注、智能⽂书撰写、数据统计等深度应⽤功能，满⾜⽆纸化办案需求；（4）归档衔接合规：确认结案后电⼦卷宗⾃动归⽬、同步转化为电⼦档案，完成电⼦与纸质卷宗的⽆缝对接；（5）问题汇总：验收⼩组整理现场测试中发现的问题，形成《问题整改清单》，明确整改要求及期限；（6）整改与复验阶段出具验收报告：采购⼈根据验收⼯作⼩组验收合格的意⻅，核对⽆误后签字确认，并出具验收报告。 3.验收标准：各项具体⼯作的质量标准和作业规范，按国家标准、⾏业标准、有关技术规范要求及磋商⽂件、响应⽂件规定的内容执⾏。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联系电话：19991640961</w:t>
      </w:r>
    </w:p>
    <w:p>
      <w:pPr>
        <w:pStyle w:val="null3"/>
      </w:pPr>
      <w:r>
        <w:rPr>
          <w:rFonts w:ascii="仿宋_GB2312" w:hAnsi="仿宋_GB2312" w:cs="仿宋_GB2312" w:eastAsia="仿宋_GB2312"/>
        </w:rPr>
        <w:t>地址：陕西省西安市未央区西安经济技术开发区凤城七路⻓和国际D座26层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完成立案、审判、执行各环节当事人提交的诉讼材料及案件办理过程中形成的文件扫描上传、电子材料归目、材料的移送、接收和保管等工作。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完成立案、审判、执行各环节当事人提交的诉讼材料及案件办理过程中形成的文件扫描上传、电子材料归目、材料的移送、接收和保管等工作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标的名称：完成立案、审判、执行各环节当事人提交的诉讼材料及案件办理过程中形成的文件扫描上传、电子材料归目、材料的移送、接收和保管等工作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1、新收立案</w:t>
            </w:r>
          </w:p>
          <w:p>
            <w:pPr>
              <w:pStyle w:val="null3"/>
            </w:pPr>
            <w:r>
              <w:rPr>
                <w:rFonts w:ascii="仿宋_GB2312" w:hAnsi="仿宋_GB2312" w:cs="仿宋_GB2312" w:eastAsia="仿宋_GB2312"/>
              </w:rPr>
              <w:t>1.1 中标单位安排专职立案人员对接立案庭，对新收案件登记，在交接清单注明接收日期、案件数量、移交人等信息；核对清单无误后，完成案件材料扫描及系统上传，按规定分配唯一案号。确认上传完整无误后，在系统发起移送，提交至立案系统流转。</w:t>
            </w:r>
          </w:p>
          <w:p>
            <w:pPr>
              <w:pStyle w:val="null3"/>
            </w:pPr>
            <w:r>
              <w:rPr>
                <w:rFonts w:ascii="仿宋_GB2312" w:hAnsi="仿宋_GB2312" w:cs="仿宋_GB2312" w:eastAsia="仿宋_GB2312"/>
              </w:rPr>
              <w:t>1.2 立案人员在立案系统接收推送案件，核对无误后提交立案移送申请；立案审核通过后，将案件移送对应业务庭室。全部案件登记完毕后，统一送至院方指定地点归档管理。</w:t>
            </w:r>
          </w:p>
          <w:p>
            <w:pPr>
              <w:pStyle w:val="null3"/>
            </w:pPr>
            <w:r>
              <w:rPr>
                <w:rFonts w:ascii="仿宋_GB2312" w:hAnsi="仿宋_GB2312" w:cs="仿宋_GB2312" w:eastAsia="仿宋_GB2312"/>
              </w:rPr>
              <w:t>2、档案保管服务</w:t>
            </w:r>
          </w:p>
          <w:p>
            <w:pPr>
              <w:pStyle w:val="null3"/>
            </w:pPr>
            <w:r>
              <w:rPr>
                <w:rFonts w:ascii="仿宋_GB2312" w:hAnsi="仿宋_GB2312" w:cs="仿宋_GB2312" w:eastAsia="仿宋_GB2312"/>
              </w:rPr>
              <w:t>2.1中标单位指派专职档案管理员对接法院各审判庭书记员，移交时逐册清点档案数量、核验案卷编号、当事人信息、案件类型等基础信息，确保账实相符。</w:t>
            </w:r>
          </w:p>
          <w:p>
            <w:pPr>
              <w:pStyle w:val="null3"/>
            </w:pPr>
            <w:r>
              <w:rPr>
                <w:rFonts w:ascii="仿宋_GB2312" w:hAnsi="仿宋_GB2312" w:cs="仿宋_GB2312" w:eastAsia="仿宋_GB2312"/>
              </w:rPr>
              <w:t>2.2规范填写《交接登记单》，交接双方签字确认，台账纸质版+电子版同步留存，形成完整可追溯凭证。交接完成后，将档案移送至采购方指定专属待加工存放区，实行分类定位、一案一区、有序码放，设置专属存放标识，专人管护。</w:t>
            </w:r>
          </w:p>
          <w:p>
            <w:pPr>
              <w:pStyle w:val="null3"/>
            </w:pPr>
            <w:r>
              <w:rPr>
                <w:rFonts w:ascii="仿宋_GB2312" w:hAnsi="仿宋_GB2312" w:cs="仿宋_GB2312" w:eastAsia="仿宋_GB2312"/>
              </w:rPr>
              <w:t>3、新增案卷材料归集</w:t>
            </w:r>
          </w:p>
          <w:p>
            <w:pPr>
              <w:pStyle w:val="null3"/>
            </w:pPr>
            <w:r>
              <w:rPr>
                <w:rFonts w:ascii="仿宋_GB2312" w:hAnsi="仿宋_GB2312" w:cs="仿宋_GB2312" w:eastAsia="仿宋_GB2312"/>
              </w:rPr>
              <w:t>3.1作业周期内，接到案件新增材料通知后进行核验，归入原案件资料，确保同案档案集中统一、无散漏、无错放、无缺失。</w:t>
            </w:r>
          </w:p>
          <w:p>
            <w:pPr>
              <w:pStyle w:val="null3"/>
            </w:pPr>
            <w:r>
              <w:rPr>
                <w:rFonts w:ascii="仿宋_GB2312" w:hAnsi="仿宋_GB2312" w:cs="仿宋_GB2312" w:eastAsia="仿宋_GB2312"/>
              </w:rPr>
              <w:t>3.2新增材料交接同步登记，更新台账，确保案卷材料连贯性。</w:t>
            </w:r>
          </w:p>
          <w:p>
            <w:pPr>
              <w:pStyle w:val="null3"/>
            </w:pPr>
            <w:r>
              <w:rPr>
                <w:rFonts w:ascii="仿宋_GB2312" w:hAnsi="仿宋_GB2312" w:cs="仿宋_GB2312" w:eastAsia="仿宋_GB2312"/>
              </w:rPr>
              <w:t>4、档案原件调阅与催还管控</w:t>
            </w:r>
          </w:p>
          <w:p>
            <w:pPr>
              <w:pStyle w:val="null3"/>
            </w:pPr>
            <w:r>
              <w:rPr>
                <w:rFonts w:ascii="仿宋_GB2312" w:hAnsi="仿宋_GB2312" w:cs="仿宋_GB2312" w:eastAsia="仿宋_GB2312"/>
              </w:rPr>
              <w:t>4.1接到法官、书记员档案原件调阅申请后精准定位档案，依规办理调阅交接，登记完善《档案调阅单》。</w:t>
            </w:r>
          </w:p>
          <w:p>
            <w:pPr>
              <w:pStyle w:val="null3"/>
            </w:pPr>
            <w:r>
              <w:rPr>
                <w:rFonts w:ascii="仿宋_GB2312" w:hAnsi="仿宋_GB2312" w:cs="仿宋_GB2312" w:eastAsia="仿宋_GB2312"/>
              </w:rPr>
              <w:t>4.2建立逾期催还机制，逾期未归还的，每日跟进催还，同步报备采购方档案管理部门，全程跟踪归还进度，杜绝档案遗失、损毁、泄密。</w:t>
            </w:r>
          </w:p>
          <w:p>
            <w:pPr>
              <w:pStyle w:val="null3"/>
            </w:pPr>
            <w:r>
              <w:rPr>
                <w:rFonts w:ascii="仿宋_GB2312" w:hAnsi="仿宋_GB2312" w:cs="仿宋_GB2312" w:eastAsia="仿宋_GB2312"/>
              </w:rPr>
              <w:t>5、安全保密与物理防护</w:t>
            </w:r>
          </w:p>
          <w:p>
            <w:pPr>
              <w:pStyle w:val="null3"/>
            </w:pPr>
            <w:r>
              <w:rPr>
                <w:rFonts w:ascii="仿宋_GB2312" w:hAnsi="仿宋_GB2312" w:cs="仿宋_GB2312" w:eastAsia="仿宋_GB2312"/>
              </w:rPr>
              <w:t>扫描中心实行封闭管理，非授权人员严禁工作场所内；档案存放配备防潮、防火、防盗、防蛀设施，定期巡检，落实物理安全防护。</w:t>
            </w:r>
          </w:p>
          <w:p>
            <w:pPr>
              <w:pStyle w:val="null3"/>
            </w:pPr>
            <w:r>
              <w:rPr>
                <w:rFonts w:ascii="仿宋_GB2312" w:hAnsi="仿宋_GB2312" w:cs="仿宋_GB2312" w:eastAsia="仿宋_GB2312"/>
              </w:rPr>
              <w:t>6、页码编写服务</w:t>
            </w:r>
          </w:p>
          <w:p>
            <w:pPr>
              <w:pStyle w:val="null3"/>
            </w:pPr>
            <w:r>
              <w:rPr>
                <w:rFonts w:ascii="仿宋_GB2312" w:hAnsi="仿宋_GB2312" w:cs="仿宋_GB2312" w:eastAsia="仿宋_GB2312"/>
              </w:rPr>
              <w:t>6.1以单册档案为独立单元编制页码，按照电子目录的顺序进行编页及打印目录和卷皮，全面反映案件材料，与纸质档案完全一致。</w:t>
            </w:r>
          </w:p>
          <w:p>
            <w:pPr>
              <w:pStyle w:val="null3"/>
            </w:pPr>
            <w:r>
              <w:rPr>
                <w:rFonts w:ascii="仿宋_GB2312" w:hAnsi="仿宋_GB2312" w:cs="仿宋_GB2312" w:eastAsia="仿宋_GB2312"/>
              </w:rPr>
              <w:t>6.2整改要求，页码编写错误需整改，严禁覆盖档案原文，整改后重新核验。</w:t>
            </w:r>
          </w:p>
          <w:p>
            <w:pPr>
              <w:pStyle w:val="null3"/>
            </w:pPr>
            <w:r>
              <w:rPr>
                <w:rFonts w:ascii="仿宋_GB2312" w:hAnsi="仿宋_GB2312" w:cs="仿宋_GB2312" w:eastAsia="仿宋_GB2312"/>
              </w:rPr>
              <w:t>页码需优先用页码打印机完成，确保字迹清晰牢固。</w:t>
            </w:r>
          </w:p>
          <w:p>
            <w:pPr>
              <w:pStyle w:val="null3"/>
            </w:pPr>
            <w:r>
              <w:rPr>
                <w:rFonts w:ascii="仿宋_GB2312" w:hAnsi="仿宋_GB2312" w:cs="仿宋_GB2312" w:eastAsia="仿宋_GB2312"/>
              </w:rPr>
              <w:t>7、档案扫描、图像处理</w:t>
            </w:r>
          </w:p>
          <w:p>
            <w:pPr>
              <w:pStyle w:val="null3"/>
            </w:pPr>
            <w:r>
              <w:rPr>
                <w:rFonts w:ascii="仿宋_GB2312" w:hAnsi="仿宋_GB2312" w:cs="仿宋_GB2312" w:eastAsia="仿宋_GB2312"/>
              </w:rPr>
              <w:t>7.1档案扫描根据材料幅面、内容选择专业档案扫描仪，扫描分辨率 ≥300dpi，文件格式支持 JPEG、TIFF、PDF，色彩与实体卷宗完全一致（黑白/彩色）。</w:t>
            </w:r>
          </w:p>
          <w:p>
            <w:pPr>
              <w:pStyle w:val="null3"/>
            </w:pPr>
            <w:r>
              <w:rPr>
                <w:rFonts w:ascii="仿宋_GB2312" w:hAnsi="仿宋_GB2312" w:cs="仿宋_GB2312" w:eastAsia="仿宋_GB2312"/>
              </w:rPr>
              <w:t>7.2扫描质量：无字迹变形、模糊、洇透、深浅不一、影像底色、纸面扭曲，完整还原档案原貌。</w:t>
            </w:r>
          </w:p>
          <w:p>
            <w:pPr>
              <w:pStyle w:val="null3"/>
            </w:pPr>
            <w:r>
              <w:rPr>
                <w:rFonts w:ascii="仿宋_GB2312" w:hAnsi="仿宋_GB2312" w:cs="仿宋_GB2312" w:eastAsia="仿宋_GB2312"/>
              </w:rPr>
              <w:t>7.3图像处理图像纠偏：偏斜度≤3度，倒置图像旋转还原，符合阅读习惯。</w:t>
            </w:r>
          </w:p>
          <w:p>
            <w:pPr>
              <w:pStyle w:val="null3"/>
            </w:pPr>
            <w:r>
              <w:rPr>
                <w:rFonts w:ascii="仿宋_GB2312" w:hAnsi="仿宋_GB2312" w:cs="仿宋_GB2312" w:eastAsia="仿宋_GB2312"/>
              </w:rPr>
              <w:t>图像拼接：大幅面材料精准拼接，信息无缺失、无错位。</w:t>
            </w:r>
          </w:p>
          <w:p>
            <w:pPr>
              <w:pStyle w:val="null3"/>
            </w:pPr>
            <w:r>
              <w:rPr>
                <w:rFonts w:ascii="仿宋_GB2312" w:hAnsi="仿宋_GB2312" w:cs="仿宋_GB2312" w:eastAsia="仿宋_GB2312"/>
              </w:rPr>
              <w:t>7.4图像优化：去除黑点、黑线、黑框、黑边、多余白边，不修改档案原文，保持卷宗原貌，确保每页清晰可读、页面整洁。</w:t>
            </w:r>
          </w:p>
          <w:p>
            <w:pPr>
              <w:pStyle w:val="null3"/>
            </w:pPr>
            <w:r>
              <w:rPr>
                <w:rFonts w:ascii="仿宋_GB2312" w:hAnsi="仿宋_GB2312" w:cs="仿宋_GB2312" w:eastAsia="仿宋_GB2312"/>
              </w:rPr>
              <w:t>8、档案装订服务</w:t>
            </w:r>
          </w:p>
          <w:p>
            <w:pPr>
              <w:pStyle w:val="null3"/>
            </w:pPr>
            <w:r>
              <w:rPr>
                <w:rFonts w:ascii="仿宋_GB2312" w:hAnsi="仿宋_GB2312" w:cs="仿宋_GB2312" w:eastAsia="仿宋_GB2312"/>
              </w:rPr>
              <w:t>8.1前置核验：装订前双人核验：电子卷宗顺序、内容与纸质档案页码、材料完全一致，不一致不得装订。</w:t>
            </w:r>
          </w:p>
          <w:p>
            <w:pPr>
              <w:pStyle w:val="null3"/>
            </w:pPr>
            <w:r>
              <w:rPr>
                <w:rFonts w:ascii="仿宋_GB2312" w:hAnsi="仿宋_GB2312" w:cs="仿宋_GB2312" w:eastAsia="仿宋_GB2312"/>
              </w:rPr>
              <w:t>8.2装订规范：按三孔一线标准装订，整齐牢固、不漏页、不影响阅读；有光盘固定在正卷后卷皮右上方；上诉案件优先装订。</w:t>
            </w:r>
          </w:p>
          <w:p>
            <w:pPr>
              <w:pStyle w:val="null3"/>
            </w:pPr>
            <w:r>
              <w:rPr>
                <w:rFonts w:ascii="仿宋_GB2312" w:hAnsi="仿宋_GB2312" w:cs="仿宋_GB2312" w:eastAsia="仿宋_GB2312"/>
              </w:rPr>
              <w:t>9、登记移交</w:t>
            </w:r>
          </w:p>
          <w:p>
            <w:pPr>
              <w:pStyle w:val="null3"/>
            </w:pPr>
            <w:r>
              <w:rPr>
                <w:rFonts w:ascii="仿宋_GB2312" w:hAnsi="仿宋_GB2312" w:cs="仿宋_GB2312" w:eastAsia="仿宋_GB2312"/>
              </w:rPr>
              <w:t>将装订好的纸质档案及相关清单，统一移送至档案室办理实体交接。</w:t>
            </w:r>
          </w:p>
          <w:p>
            <w:pPr>
              <w:pStyle w:val="null3"/>
            </w:pPr>
            <w:r>
              <w:rPr>
                <w:rFonts w:ascii="仿宋_GB2312" w:hAnsi="仿宋_GB2312" w:cs="仿宋_GB2312" w:eastAsia="仿宋_GB2312"/>
              </w:rPr>
              <w:t>10、档案整理</w:t>
            </w:r>
          </w:p>
          <w:p>
            <w:pPr>
              <w:pStyle w:val="null3"/>
            </w:pPr>
            <w:r>
              <w:rPr>
                <w:rFonts w:ascii="仿宋_GB2312" w:hAnsi="仿宋_GB2312" w:cs="仿宋_GB2312" w:eastAsia="仿宋_GB2312"/>
              </w:rPr>
              <w:t>中标单位指派专职档案管理员协助档案室工作人员进行档案的整理、分类、编号、上架及日常归档管理，确保档案存放规范、查找便捷，保障档案管理工作有序开展，配合法院完成档案查阅、调取相关辅助工作。</w:t>
            </w:r>
          </w:p>
          <w:p>
            <w:pPr>
              <w:pStyle w:val="null3"/>
            </w:pPr>
            <w:r>
              <w:rPr>
                <w:rFonts w:ascii="仿宋_GB2312" w:hAnsi="仿宋_GB2312" w:cs="仿宋_GB2312" w:eastAsia="仿宋_GB2312"/>
              </w:rPr>
              <w:t>11、工作方式</w:t>
            </w:r>
          </w:p>
          <w:p>
            <w:pPr>
              <w:pStyle w:val="null3"/>
            </w:pPr>
            <w:r>
              <w:rPr>
                <w:rFonts w:ascii="仿宋_GB2312" w:hAnsi="仿宋_GB2312" w:cs="仿宋_GB2312" w:eastAsia="仿宋_GB2312"/>
              </w:rPr>
              <w:t>电子卷重随案同步生成中心职责：扫描人员负责完成新生卷宗的立案、收转、扫描、校验、编目、借阅管理、整卷归档等流程任务。导诉人员负责接待引导，解答疑问，协助材料审核，协助办理业务，秩序维护与安全保障，信息收集与反馈。技术人员主要负责法院内网、庭审系统、办公设备及各类司法业务系统的日常维护。</w:t>
            </w:r>
          </w:p>
          <w:p>
            <w:pPr>
              <w:pStyle w:val="null3"/>
            </w:pPr>
            <w:r>
              <w:rPr>
                <w:rFonts w:ascii="仿宋_GB2312" w:hAnsi="仿宋_GB2312" w:cs="仿宋_GB2312" w:eastAsia="仿宋_GB2312"/>
              </w:rPr>
              <w:t>12、服务时限</w:t>
            </w:r>
          </w:p>
          <w:p>
            <w:pPr>
              <w:pStyle w:val="null3"/>
            </w:pPr>
            <w:r>
              <w:rPr>
                <w:rFonts w:ascii="仿宋_GB2312" w:hAnsi="仿宋_GB2312" w:cs="仿宋_GB2312" w:eastAsia="仿宋_GB2312"/>
              </w:rPr>
              <w:t>为保证诉讼材料能够实时扫描上传至审判业务管理系统，扫描人员原则上做到当日材料当日扫描完成，个别因材料过多等原因不能当日完成的，必须做好标记和记录，并在下一个工作日优先处理完成，最长不得超过3个工作日。</w:t>
            </w:r>
          </w:p>
          <w:p>
            <w:pPr>
              <w:pStyle w:val="null3"/>
            </w:pPr>
            <w:r>
              <w:rPr>
                <w:rFonts w:ascii="仿宋_GB2312" w:hAnsi="仿宋_GB2312" w:cs="仿宋_GB2312" w:eastAsia="仿宋_GB2312"/>
              </w:rPr>
              <w:t>13、售后服务要求</w:t>
            </w:r>
          </w:p>
          <w:p>
            <w:pPr>
              <w:pStyle w:val="null3"/>
            </w:pPr>
            <w:r>
              <w:rPr>
                <w:rFonts w:ascii="仿宋_GB2312" w:hAnsi="仿宋_GB2312" w:cs="仿宋_GB2312" w:eastAsia="仿宋_GB2312"/>
              </w:rPr>
              <w:t>本项目完工验收合格后，供应商应提供至少1年的质保服务。质保期内，供应商应免费提供日常维护、培训、方便快捷。性能优化服务，终身维护。除需常驻技术人员外，还应为本项目成立专门的维修服务和技术支持小组，对紧急的问题及时到达现场，排除故障，对于一般性的问题，供应商应通过电话、传真或电子邮件方式提供技术支持。提供完善的用户培训计划、数据迁移实施方案。</w:t>
            </w:r>
          </w:p>
          <w:p>
            <w:pPr>
              <w:pStyle w:val="null3"/>
            </w:pPr>
            <w:r>
              <w:rPr>
                <w:rFonts w:ascii="仿宋_GB2312" w:hAnsi="仿宋_GB2312" w:cs="仿宋_GB2312" w:eastAsia="仿宋_GB2312"/>
              </w:rPr>
              <w:t>二、采购数量：约11594卷</w:t>
            </w:r>
          </w:p>
          <w:p>
            <w:pPr>
              <w:pStyle w:val="null3"/>
            </w:pPr>
            <w:r>
              <w:rPr>
                <w:rFonts w:ascii="仿宋_GB2312" w:hAnsi="仿宋_GB2312" w:cs="仿宋_GB2312" w:eastAsia="仿宋_GB2312"/>
              </w:rPr>
              <w:t>三、验收标准</w:t>
            </w:r>
          </w:p>
          <w:p>
            <w:pPr>
              <w:pStyle w:val="null3"/>
            </w:pPr>
            <w:r>
              <w:rPr>
                <w:rFonts w:ascii="仿宋_GB2312" w:hAnsi="仿宋_GB2312" w:cs="仿宋_GB2312" w:eastAsia="仿宋_GB2312"/>
              </w:rPr>
              <w:t>1.电子卷宗适配 “一张网” 与无纸化要求；编目挂接规范准确；纸质材料完整、装订合规、与电子卷宗一致；数据统计及时准确；无数据泄露。</w:t>
            </w:r>
          </w:p>
          <w:p>
            <w:pPr>
              <w:pStyle w:val="null3"/>
            </w:pPr>
            <w:r>
              <w:rPr>
                <w:rFonts w:ascii="仿宋_GB2312" w:hAnsi="仿宋_GB2312" w:cs="仿宋_GB2312" w:eastAsia="仿宋_GB2312"/>
              </w:rPr>
              <w:t>2.纸质档案的验收以交接清单为准，首先对照移交清单清点卷宗数量，抽取每个验收批次总卷数不低于5%对卷宗整理、装订质量、进行验收。</w:t>
            </w:r>
          </w:p>
          <w:p>
            <w:pPr>
              <w:pStyle w:val="null3"/>
            </w:pPr>
            <w:r>
              <w:rPr>
                <w:rFonts w:ascii="仿宋_GB2312" w:hAnsi="仿宋_GB2312" w:cs="仿宋_GB2312" w:eastAsia="仿宋_GB2312"/>
              </w:rPr>
              <w:t>3.扫描卷宗的验收，首先对扫描页数进行核实，然后日常抽取每个验收批次总数的不低于5%，检查扫描卷宗的索引信息、扫描图像的质量、页级别设置、扫描卷宗与纸质卷宗的一致性。</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详⻅3.2.2项服务要求。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大荔县人民法院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（1）电子卷宗适配 “一张网” 与无纸化要求；编目挂接规范准确；纸质材料完整、装订合规、与电子卷宗一致；数据统计及时准确；无数据泄露；（2）纸质档案的验收以交接清单为准，首先对照移交清单清点卷宗数量，抽取每个验收批次总卷数不低于5%对卷宗整理、装订质量、进行验收；（3）扫描卷宗的验收，首先对扫描页数进行核实，然后日常抽取每个验收批次总数的不低于5%，检查扫描卷宗的索引信息、扫描图像的质量、页级别设置、扫描卷宗与纸质卷宗的一致性。</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进度款，每季度服务完成并验收合格后，支付当季度费用，达到付款条件起30个工作日内，支付合同总金额的100.0%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供应商提供项目启动所需资料造成服务期延误，每延误1日则本合同服务周期限延长1日，以此类推；因资料真实性给供应商造成损失和产生相关连带责任时，采购人除按供应商要求进行赔偿外还需承担因连带责任产生的所有责任。 （二）因供应商原因造成工期延误（自然灾害、疫情等不可抗力除外），采购人有权从未付款项中按每日3‰合同价款扣除违约金，此违约以30日为限。</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成交⼈在成交结果公告发布后3个⼯作⽇内提供叁套纸质响应⽂件（经编标⼯具⽣成的⽂件直接打印并加盖公章）， 递交的纸质版⽂件内容确保与线上电⼦⽂件保持⼀致，不允许修改和补充。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供应商合法有效，为具有独⽴承担⺠事责任能⼒的企业法⼈、其他组织或者⾃然⼈，并提供合法有效的证明材料；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时间⾄开标时间不⾜⼀年的可提供成⽴后任意时段的资产负债表）或响应⽂件递交截⽌时间前六个⽉内其基本账⼾银⾏出具的资信证明（附基本账⼾证明）或政府采购信⽤担保机构出具的投标担保函；税收缴纳证明：提供响应⽂件递交截⽌时间前⼀年内任意⼀个⽉的缴费凭据；依法免税的应提供相关⽂件证明；社会保障资⾦缴纳证明：提供响应⽂件递交截⽌时间前⼀年内任意⼀个⽉的社保缴费凭据或社保机构开具的社会保险参保缴费情况证明；依法不需要缴纳社会保障资⾦的供应商应提供相关⽂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履⾏本合同所必需的设备和专业技术能⼒的承诺</w:t>
            </w:r>
          </w:p>
        </w:tc>
        <w:tc>
          <w:tcPr>
            <w:tcW w:type="dxa" w:w="3322"/>
          </w:tcPr>
          <w:p>
            <w:pPr>
              <w:pStyle w:val="null3"/>
            </w:pPr>
            <w:r>
              <w:rPr>
                <w:rFonts w:ascii="仿宋_GB2312" w:hAnsi="仿宋_GB2312" w:cs="仿宋_GB2312" w:eastAsia="仿宋_GB2312"/>
              </w:rPr>
              <w:t>提供具有履⾏本合同所必需的设备和专业技术能⼒的说明或承诺；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⽆重⼤违法记录的书⾯声明</w:t>
            </w:r>
          </w:p>
        </w:tc>
        <w:tc>
          <w:tcPr>
            <w:tcW w:type="dxa" w:w="3322"/>
          </w:tcPr>
          <w:p>
            <w:pPr>
              <w:pStyle w:val="null3"/>
            </w:pPr>
            <w:r>
              <w:rPr>
                <w:rFonts w:ascii="仿宋_GB2312" w:hAnsi="仿宋_GB2312" w:cs="仿宋_GB2312" w:eastAsia="仿宋_GB2312"/>
              </w:rPr>
              <w:t>参加政府采购活动前三年内在经营活动中⽆重⼤违法记录的书⾯声明。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法定代表人身份证明/被授权人委托书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法定代表人参与磋商时需提供法定代表人身份证明书；被授权人参与磋商时需提供法定代表人授权委托书；</w:t>
            </w:r>
          </w:p>
        </w:tc>
        <w:tc>
          <w:tcPr>
            <w:tcW w:type="dxa" w:w="1661"/>
          </w:tcPr>
          <w:p>
            <w:pPr>
              <w:pStyle w:val="null3"/>
            </w:pPr>
            <w:r>
              <w:rPr>
                <w:rFonts w:ascii="仿宋_GB2312" w:hAnsi="仿宋_GB2312" w:cs="仿宋_GB2312" w:eastAsia="仿宋_GB2312"/>
              </w:rPr>
              <w:t>法定代表人证明书或法定代表人授权书.docx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须具有省级及以上国家保密局颁发的乙级及以上的涉密档案数字化加工的“国家秘密载体印制资质证书”且在有效期内，外省企业需在陕西省国家保密局备案（甲级资质无需备案）；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响应⽂件有效期满⾜磋商⽂件要求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不得提交选择性报价，且报价不超过最⾼限价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响应⽂件签章</w:t>
            </w:r>
          </w:p>
        </w:tc>
        <w:tc>
          <w:tcPr>
            <w:tcW w:type="dxa" w:w="3322"/>
          </w:tcPr>
          <w:p>
            <w:pPr>
              <w:pStyle w:val="null3"/>
            </w:pPr>
            <w:r>
              <w:rPr>
                <w:rFonts w:ascii="仿宋_GB2312" w:hAnsi="仿宋_GB2312" w:cs="仿宋_GB2312" w:eastAsia="仿宋_GB2312"/>
              </w:rPr>
              <w:t>响应⽂件按照磋商⽂件要求进⾏签章</w:t>
            </w:r>
          </w:p>
        </w:tc>
        <w:tc>
          <w:tcPr>
            <w:tcW w:type="dxa" w:w="1661"/>
          </w:tcPr>
          <w:p>
            <w:pPr>
              <w:pStyle w:val="null3"/>
            </w:pPr>
            <w:r>
              <w:rPr>
                <w:rFonts w:ascii="仿宋_GB2312" w:hAnsi="仿宋_GB2312" w:cs="仿宋_GB2312" w:eastAsia="仿宋_GB2312"/>
              </w:rPr>
              <w:t>法定代表人证明书或法定代表人授权书.docx 中小企业声明函 商务应答表 供应商应提交的相关资格证明材料 服务内容及服务要求应答表 报价表 响应文件封面 政府采购供应商拒绝政府采购领域商业贿赂承诺书.pdf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磋商⽂件规定的其他情形</w:t>
            </w:r>
          </w:p>
        </w:tc>
        <w:tc>
          <w:tcPr>
            <w:tcW w:type="dxa" w:w="1661"/>
          </w:tcPr>
          <w:p>
            <w:pPr>
              <w:pStyle w:val="null3"/>
            </w:pPr>
            <w:r>
              <w:rPr>
                <w:rFonts w:ascii="仿宋_GB2312" w:hAnsi="仿宋_GB2312" w:cs="仿宋_GB2312" w:eastAsia="仿宋_GB2312"/>
              </w:rPr>
              <w:t>法定代表人证明书或法定代表人授权书.docx 中小企业声明函 商务应答表 供应商应提交的相关资格证明材料 服务内容及服务要求应答表 报价表 响应文件封面 政府采购供应商拒绝政府采购领域商业贿赂承诺书.pdf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针对本项目需求，提供详细、清晰、科学、合理的服务方案，包含但不限于：①项目理解；②工作流程；③总体进度计划及保证措施；④售后保障。 以上内容无缺项，专门针对本项目编制，符合本项目实际情况，内容全面详细，且条理清晰、准确、合理，能够保障项目顺利实施的得12分。每小项缺项或者内容非针对于本项目的3分，每小项有一项内容有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内部管理措施</w:t>
            </w:r>
          </w:p>
        </w:tc>
        <w:tc>
          <w:tcPr>
            <w:tcW w:type="dxa" w:w="2492"/>
          </w:tcPr>
          <w:p>
            <w:pPr>
              <w:pStyle w:val="null3"/>
            </w:pPr>
            <w:r>
              <w:rPr>
                <w:rFonts w:ascii="仿宋_GB2312" w:hAnsi="仿宋_GB2312" w:cs="仿宋_GB2312" w:eastAsia="仿宋_GB2312"/>
              </w:rPr>
              <w:t>针对本项目内容提供详细、清晰、科学、合理内部管理措施。包含但不限于①内部管理架构；②信息反馈渠道；③自查制度；④激励机制。 以上内容无缺项，专门针对本项目编制，符合本项目实际情况，内容全面详细，且条理清晰、准确、合理，能够保障项目顺利实施的得4分。每小项缺项或者内容非针对于本项目的扣1分，每小项有一项内容有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保密、安全保证措 施</w:t>
            </w:r>
          </w:p>
        </w:tc>
        <w:tc>
          <w:tcPr>
            <w:tcW w:type="dxa" w:w="2492"/>
          </w:tcPr>
          <w:p>
            <w:pPr>
              <w:pStyle w:val="null3"/>
            </w:pPr>
            <w:r>
              <w:rPr>
                <w:rFonts w:ascii="仿宋_GB2312" w:hAnsi="仿宋_GB2312" w:cs="仿宋_GB2312" w:eastAsia="仿宋_GB2312"/>
              </w:rPr>
              <w:t>针对本项目内容提供适用于本项目的保密、安全保证措施，包含但不限于①人员保密管理；②卷宗实体和卷宗信息保密措施；③安全保证措施。 以上内容无缺项，专门针对本项目编制，符合本项目实际情况，内容全面详细，且条理清晰、准确、合理，能够保障项目顺利实施的得6分。每小项缺项或者内容非针对于本项目的扣2分，每小项有一项内容有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针对本项目内容提供适用于本项目的质量保证措施。包含但不限于①质量保证措施；②能够考虑并满足采购人的多种需求；③接受采购人对服务的监督、批评和建议。 以上内容无缺项，专门针对本项目编制，符合本项目实际情况，内容全面详细，且条理清晰、准确、合理，能够保障项目顺利实施的得6分。每小项缺项或者内容非针对于本项目的扣2分，每小项有一项内容有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针对本项目内容提出适用于本项目的人员培训方案，包含但不限于①岗位技能；②安全防护意识。 以上内容无缺项，专门针对本项目编制，符合本项目实际情况，内容全面详细，且条理清晰、准确、合理，能够保障项目顺利实施的得4分。每小项缺项或者内容非针对于本项目的扣2分，每小项有一项内容有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针对本项目提供应急处理方案，包含但不限于①对紧急或突发业务的应急保障措施；②应急响应时间；③出现问题应急人员安排。 以上内容无缺项，专门针对本项目编制，符合本项目实际情况，内容全面详细，且条理清晰、准确、合理，能够保障项目顺利实施的得6分。每小项缺项或者内容非针对于本项目的扣2分，每小项有一项内容有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供应商针对本项目有具体的合理化建议，专门针对本项目编制，符合本项目实际情况，内容全面详细，且条理清晰、准确、合理，能够保障项目顺利实施的得2分，有一项内容有缺陷的扣0.5分，扣完为止。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供应商具有2023年6月以来(以合同签订时间为准)类似业绩，每提供一份合同得2分，最高得12分。 评审材料:响应文件中提供完整合同复印件并加盖供应商公章，未提供的不得分。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供应商针对本项目采购需求，制定相应的人员配置方案，人员配置中：项目管理机构配备8人以上（含8人）得16分，每少1人扣2分，扣完为止。 注：人员须具有相关专业岗位培训合格证书等证明资料，未提供或提供资料不全的人员为无效人员，无效人员不得分。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拟派项目负责人提供近三年类似项目管理经验业绩得3分。 注：提供完整合同复印件并加盖供应商公章，未提供或提供不完整的不得分（需体现项目负责人姓名）。</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①承诺针对专项活动或突击性归档任务，启动应急预案，增派人手和设备，确保在规定时间内完成增量材料的扫描与归档，得2分； ②承诺工作场所实行封闭式管理，无监控死角，严禁携带相机等摄录设备进入，得2分。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①供应商具有信息安全管理体系认证证书得4分； ②供应商具有信息技术服务管理体系认证证书得4分 ③供应商具有质量管理体系认证证书，得2分； 注：加盖公章的证书复印件附于响应文件中，否则不得分。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2.各供应商的在多次报价中应逐次降价，二次报价超过首次报价的，为无效报价，取消其磋商资格。 3.满足磋商文件实质性要求且最终报价最低的供应商的价格为磋商基准价，其价格分为满分15分。 4.磋商报价得分=（磋商基准价/最终磋商报价）×价格权值×100% 5.磋商报价不完整的，不进入磋商基准价的计算，本项得0分。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详见附件：政府采购供应商拒绝政府采购领域商业贿赂承诺书.pdf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