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版本号：TYRZHC-2026-01420260813001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韩城市低保、特困家计入户调查服务项目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TYRZHC-2026-014</w:t>
      </w:r>
      <w:r>
        <w:br/>
      </w:r>
      <w:r>
        <w:br/>
      </w:r>
      <w:r>
        <w:br/>
      </w:r>
    </w:p>
    <w:p>
      <w:pPr>
        <w:pStyle w:val="null3"/>
        <w:jc w:val="center"/>
        <w:outlineLvl w:val="2"/>
      </w:pPr>
      <w:r>
        <w:rPr>
          <w:rFonts w:ascii="仿宋_GB2312" w:hAnsi="仿宋_GB2312" w:cs="仿宋_GB2312" w:eastAsia="仿宋_GB2312"/>
          <w:sz w:val="28"/>
          <w:b/>
        </w:rPr>
        <w:t>韩城市民政局（本级）</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韩城市民政局（本级）</w:t>
      </w:r>
      <w:r>
        <w:rPr>
          <w:rFonts w:ascii="仿宋_GB2312" w:hAnsi="仿宋_GB2312" w:cs="仿宋_GB2312" w:eastAsia="仿宋_GB2312"/>
        </w:rPr>
        <w:t>委托，拟对</w:t>
      </w:r>
      <w:r>
        <w:rPr>
          <w:rFonts w:ascii="仿宋_GB2312" w:hAnsi="仿宋_GB2312" w:cs="仿宋_GB2312" w:eastAsia="仿宋_GB2312"/>
        </w:rPr>
        <w:t>韩城市低保、特困家计入户调查服务项目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TYRZHC-2026-014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韩城市低保、特困家计入户调查服务项目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为深⼊贯彻落实社会救助政策，切实提升我市社会救助⼯作的精准度，持续推进社会救助规范化、专业化⽔平，全⾯ 核查低保、特困等保障对象家庭经济情况，提升救助档案管理电⼦化⽔平，结合我市实际⼯作需求，市⺠政局通过政府购 买服务的⽅式，委托第三⽅公司或机构，为全市各镇街开展低保、特困等保障对象年度家计⼊⼾调查，切实筑牢困难群众 的基本⽣活和安全防线。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采购包1（韩城市低保、特困家计入户调查服务项目）：属于专门面向中小企业采购。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3、税收缴纳证明：提供投标截止前半年内任意一个月的纳税凭证或完税证明（任意税种），完税证明上应有代收机构或税务机关的公章；依法免税的供应商应提供相关文件证明。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5、履行合同所必需的设备和专业技术能力：具有履行合同所必需的设备和专业技术能力(由供应商根据项目需求提供说明材料或者承诺)。</w:t>
      </w:r>
    </w:p>
    <w:p>
      <w:pPr>
        <w:pStyle w:val="null3"/>
      </w:pPr>
      <w:r>
        <w:rPr>
          <w:rFonts w:ascii="仿宋_GB2312" w:hAnsi="仿宋_GB2312" w:cs="仿宋_GB2312" w:eastAsia="仿宋_GB2312"/>
        </w:rPr>
        <w:t>6、书面声明：出具参加本次政府采购活动前三年内在经营活动中没有重大违法记录的书面声明。</w:t>
      </w:r>
    </w:p>
    <w:p>
      <w:pPr>
        <w:pStyle w:val="null3"/>
      </w:pPr>
      <w:r>
        <w:rPr>
          <w:rFonts w:ascii="仿宋_GB2312" w:hAnsi="仿宋_GB2312" w:cs="仿宋_GB2312" w:eastAsia="仿宋_GB2312"/>
        </w:rPr>
        <w:t>7、法定代表人身份证明/法定代表人授权书：法定代表人直接参加投标的，须出具法定代表人身份证明；授权代表参加投标的，须出具法定代表人授权书并附法定代表人和被授权人身份证及被授权人社保缴纳证明。</w:t>
      </w:r>
    </w:p>
    <w:p>
      <w:pPr>
        <w:pStyle w:val="null3"/>
      </w:pPr>
      <w:r>
        <w:rPr>
          <w:rFonts w:ascii="仿宋_GB2312" w:hAnsi="仿宋_GB2312" w:cs="仿宋_GB2312" w:eastAsia="仿宋_GB2312"/>
        </w:rPr>
        <w:t>8、信用信息：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9、控股关联关系：单位负责人为同一人或者存在直接控股、管理关系的不同供应商不得参加同一合同项下的政府采购活动。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韩城市黄河大街北段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0913-3133138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代理服务费收费标准：参照国家发展改革委关于进一步放开建设项目专业服务价格的通知，发改价格【2015】299号文件。成交供应商的招标代理服务费缴纳信息 户名名称：天煜荣泽工程咨询有限公司西安经开分公司 开户银行：中国农业发展银行韩城市支行 帐 号：2036 1058 1001 0000 0285 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韩城市民政局（本级）</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按照磋商文件、磋商响应文件及合同约定执行。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韩城市民政局（本级）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社会救助政策，切实提升我市社会救助工作的精准度，持续推进社会救助规范化、专业化水平，全面核查低保、特困等保障对象家庭经济情况，提升救助档案管理电子化水平，结合我市实际工作需求，市民政局通过政府购买服务的方式，委托第三方公司或机构，为全市各镇街开展低保、特困等保障对象年度家计入户调查，切实筑牢困难群众的基本生活和安全防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韩城市低保、特困家计入户调查服务项目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标的名称：韩城市低保、特困家计入户调查服务项目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为深入贯彻落实社会救助政策，切实提升我市社会救助工作的精准度，持续推进社会救助规范化、专业化水平，全面核查低保、特困等保障对象家庭经济情况，提升救助档案管理电子化水平，结合我市实际工作需求，市民政局通过政府购买服务的方式，委托第三方公司或机构，为全市各镇街开展低保、特困等保障对象年度家计入户调查，切实筑牢困难群众的基本生活和安全防线。</w:t>
            </w:r>
          </w:p>
          <w:p>
            <w:pPr>
              <w:pStyle w:val="null3"/>
              <w:ind w:firstLine="400"/>
              <w:jc w:val="both"/>
            </w:pPr>
            <w:r>
              <w:rPr>
                <w:rFonts w:ascii="仿宋_GB2312" w:hAnsi="仿宋_GB2312" w:cs="仿宋_GB2312" w:eastAsia="仿宋_GB2312"/>
                <w:sz w:val="20"/>
              </w:rPr>
              <w:t>（二）服务内容</w:t>
            </w:r>
          </w:p>
          <w:p>
            <w:pPr>
              <w:pStyle w:val="null3"/>
              <w:ind w:firstLine="400"/>
              <w:jc w:val="both"/>
            </w:pPr>
            <w:r>
              <w:rPr>
                <w:rFonts w:ascii="仿宋_GB2312" w:hAnsi="仿宋_GB2312" w:cs="仿宋_GB2312" w:eastAsia="仿宋_GB2312"/>
                <w:sz w:val="20"/>
              </w:rPr>
              <w:t>1.入户调查：每年对约700户申请社会救助家庭开展入户调查工作；对约5000户在册社会救助对象开展复核工作；掌握镇街社会救助政策落实情况；</w:t>
            </w:r>
          </w:p>
          <w:p>
            <w:pPr>
              <w:pStyle w:val="null3"/>
              <w:ind w:firstLine="400"/>
              <w:jc w:val="both"/>
            </w:pPr>
            <w:r>
              <w:rPr>
                <w:rFonts w:ascii="仿宋_GB2312" w:hAnsi="仿宋_GB2312" w:cs="仿宋_GB2312" w:eastAsia="仿宋_GB2312"/>
                <w:sz w:val="20"/>
              </w:rPr>
              <w:t>2.自理能力评估：开展特困人员自理能力评估工作（约600人），协助签订照料护理协议</w:t>
            </w:r>
          </w:p>
          <w:p>
            <w:pPr>
              <w:pStyle w:val="null3"/>
              <w:ind w:firstLine="400"/>
              <w:jc w:val="both"/>
            </w:pPr>
            <w:r>
              <w:rPr>
                <w:rFonts w:ascii="仿宋_GB2312" w:hAnsi="仿宋_GB2312" w:cs="仿宋_GB2312" w:eastAsia="仿宋_GB2312"/>
                <w:sz w:val="20"/>
              </w:rPr>
              <w:t>3.探访关爱：每月对约500名分散供养特困人员至少上门探访关爱1次；同时监督照料护理人照料护理责任落实情况并按季度进行测评打分。</w:t>
            </w:r>
          </w:p>
          <w:p>
            <w:pPr>
              <w:pStyle w:val="null3"/>
              <w:ind w:firstLine="400"/>
              <w:jc w:val="both"/>
            </w:pPr>
            <w:r>
              <w:rPr>
                <w:rFonts w:ascii="仿宋_GB2312" w:hAnsi="仿宋_GB2312" w:cs="仿宋_GB2312" w:eastAsia="仿宋_GB2312"/>
                <w:sz w:val="20"/>
              </w:rPr>
              <w:t>4.主动发现：主动摸排疑似符合低保、特困等社会救助政策的城乡居民家庭，做好情况记录，并及时向镇街和民政局报告。</w:t>
            </w:r>
          </w:p>
          <w:p>
            <w:pPr>
              <w:pStyle w:val="null3"/>
              <w:ind w:firstLine="400"/>
              <w:jc w:val="both"/>
            </w:pPr>
            <w:r>
              <w:rPr>
                <w:rFonts w:ascii="仿宋_GB2312" w:hAnsi="仿宋_GB2312" w:cs="仿宋_GB2312" w:eastAsia="仿宋_GB2312"/>
                <w:sz w:val="20"/>
              </w:rPr>
              <w:t>5.公示检查：对各村（社区）的社会救助公示栏、公示内容进行监督检查，对发现的问题及时报告镇街和民政局。</w:t>
            </w:r>
          </w:p>
          <w:p>
            <w:pPr>
              <w:pStyle w:val="null3"/>
              <w:ind w:firstLine="400"/>
              <w:jc w:val="both"/>
            </w:pPr>
            <w:r>
              <w:rPr>
                <w:rFonts w:ascii="仿宋_GB2312" w:hAnsi="仿宋_GB2312" w:cs="仿宋_GB2312" w:eastAsia="仿宋_GB2312"/>
                <w:sz w:val="20"/>
              </w:rPr>
              <w:t>6.政策宣传：开展内容丰富、形式多样的社会救助政策宣传活动，提高群众对社会救助政策的知晓率。</w:t>
            </w:r>
          </w:p>
          <w:p>
            <w:pPr>
              <w:pStyle w:val="null3"/>
              <w:ind w:firstLine="400"/>
              <w:jc w:val="both"/>
            </w:pPr>
            <w:r>
              <w:rPr>
                <w:rFonts w:ascii="仿宋_GB2312" w:hAnsi="仿宋_GB2312" w:cs="仿宋_GB2312" w:eastAsia="仿宋_GB2312"/>
                <w:sz w:val="20"/>
              </w:rPr>
              <w:t>7.完成市民政局交办的其他工作。</w:t>
            </w:r>
          </w:p>
          <w:p>
            <w:pPr>
              <w:pStyle w:val="null3"/>
              <w:ind w:firstLine="400"/>
              <w:jc w:val="both"/>
            </w:pPr>
            <w:r>
              <w:rPr>
                <w:rFonts w:ascii="仿宋_GB2312" w:hAnsi="仿宋_GB2312" w:cs="仿宋_GB2312" w:eastAsia="仿宋_GB2312"/>
                <w:sz w:val="20"/>
              </w:rPr>
              <w:t>（三）服务区域</w:t>
            </w:r>
          </w:p>
          <w:p>
            <w:pPr>
              <w:pStyle w:val="null3"/>
              <w:ind w:firstLine="400"/>
              <w:jc w:val="both"/>
            </w:pPr>
            <w:r>
              <w:rPr>
                <w:rFonts w:ascii="仿宋_GB2312" w:hAnsi="仿宋_GB2312" w:cs="仿宋_GB2312" w:eastAsia="仿宋_GB2312"/>
                <w:sz w:val="20"/>
              </w:rPr>
              <w:t>在韩城市行政辖区内，必要时，延伸至韩城市行政辖区之外。</w:t>
            </w:r>
          </w:p>
          <w:p>
            <w:pPr>
              <w:pStyle w:val="null3"/>
              <w:ind w:firstLine="400"/>
              <w:jc w:val="both"/>
            </w:pPr>
            <w:r>
              <w:rPr>
                <w:rFonts w:ascii="仿宋_GB2312" w:hAnsi="仿宋_GB2312" w:cs="仿宋_GB2312" w:eastAsia="仿宋_GB2312"/>
                <w:sz w:val="20"/>
              </w:rPr>
              <w:t>（四）入户调查</w:t>
            </w:r>
          </w:p>
          <w:p>
            <w:pPr>
              <w:pStyle w:val="null3"/>
              <w:ind w:firstLine="400"/>
              <w:jc w:val="both"/>
            </w:pPr>
            <w:r>
              <w:rPr>
                <w:rFonts w:ascii="仿宋_GB2312" w:hAnsi="仿宋_GB2312" w:cs="仿宋_GB2312" w:eastAsia="仿宋_GB2312"/>
                <w:sz w:val="20"/>
              </w:rPr>
              <w:t>由受托方按照社会救助相关工作文件规定，以询问、查证资料等形式进行入户调查、邻里访问及其他方式调查，并填写相关调查表，同时附带入户调查对象家庭情况照片及入户调查照片。</w:t>
            </w:r>
          </w:p>
          <w:p>
            <w:pPr>
              <w:pStyle w:val="null3"/>
              <w:ind w:firstLine="400"/>
              <w:jc w:val="both"/>
            </w:pPr>
            <w:r>
              <w:rPr>
                <w:rFonts w:ascii="仿宋_GB2312" w:hAnsi="仿宋_GB2312" w:cs="仿宋_GB2312" w:eastAsia="仿宋_GB2312"/>
                <w:sz w:val="20"/>
              </w:rPr>
              <w:t>（五）调查方法</w:t>
            </w:r>
          </w:p>
          <w:p>
            <w:pPr>
              <w:pStyle w:val="null3"/>
              <w:ind w:firstLine="400"/>
              <w:jc w:val="both"/>
            </w:pPr>
            <w:r>
              <w:rPr>
                <w:rFonts w:ascii="仿宋_GB2312" w:hAnsi="仿宋_GB2312" w:cs="仿宋_GB2312" w:eastAsia="仿宋_GB2312"/>
                <w:sz w:val="20"/>
              </w:rPr>
              <w:t>1.入户调查：调查人员直接进入调查对象家庭进行调查，核定家庭户籍状况、共同生活成员状况、家庭收入、财产状况和吃、穿、住、用等实际生活情况。主要查看申报内容与实际情况是否一致，仔细观察家庭装修、电器及日常消费用品情况，判断其日常生活水平；详细询问家庭成员的务工情况、收入情况、家庭消费水平以及赡养、抚养、扶养状况等。重点调查了解其家庭成员、家庭收入、家庭财产变化情况以及现实生活情况。</w:t>
            </w:r>
          </w:p>
          <w:p>
            <w:pPr>
              <w:pStyle w:val="null3"/>
              <w:ind w:firstLine="400"/>
              <w:jc w:val="both"/>
            </w:pPr>
            <w:r>
              <w:rPr>
                <w:rFonts w:ascii="仿宋_GB2312" w:hAnsi="仿宋_GB2312" w:cs="仿宋_GB2312" w:eastAsia="仿宋_GB2312"/>
                <w:sz w:val="20"/>
              </w:rPr>
              <w:t>2.邻里访问：调查人员到申请人所在村（居）委会或亲朋邻里家中，充分了解调查对象家庭人口、收入、财产和日常消费及实际生活情况。</w:t>
            </w:r>
          </w:p>
          <w:p>
            <w:pPr>
              <w:pStyle w:val="null3"/>
              <w:ind w:firstLine="400"/>
              <w:jc w:val="both"/>
            </w:pPr>
            <w:r>
              <w:rPr>
                <w:rFonts w:ascii="仿宋_GB2312" w:hAnsi="仿宋_GB2312" w:cs="仿宋_GB2312" w:eastAsia="仿宋_GB2312"/>
                <w:sz w:val="20"/>
              </w:rPr>
              <w:t>3.信函索证：调查人员必要时可以通过信函方式向相关单位和部门索取有关证明材料，核实申请对象提交证明材料的真实性。</w:t>
            </w:r>
          </w:p>
          <w:p>
            <w:pPr>
              <w:pStyle w:val="null3"/>
              <w:ind w:firstLine="400"/>
              <w:jc w:val="both"/>
            </w:pPr>
            <w:r>
              <w:rPr>
                <w:rFonts w:ascii="仿宋_GB2312" w:hAnsi="仿宋_GB2312" w:cs="仿宋_GB2312" w:eastAsia="仿宋_GB2312"/>
                <w:sz w:val="20"/>
              </w:rPr>
              <w:t>（六）调查工作要求</w:t>
            </w:r>
          </w:p>
          <w:p>
            <w:pPr>
              <w:pStyle w:val="null3"/>
            </w:pPr>
            <w:r>
              <w:rPr>
                <w:rFonts w:ascii="仿宋_GB2312" w:hAnsi="仿宋_GB2312" w:cs="仿宋_GB2312" w:eastAsia="仿宋_GB2312"/>
                <w:sz w:val="20"/>
              </w:rPr>
              <w:t>受托方对所调查对象家庭按照一户一档要求做好规范化档案整理。档案中包括申请人提供的所有资料、调查资料原件、以及入户照片等影像资料，资料整理完成后，交由市民政局统一保存。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1.验收方式：供应商在采购人确认收到所有工作成果后，向采购人提出验收申请，采购人接到供应商验收申请后组织验收。 2.最终验收：受托方对所调查对象家庭做好档案整理、归档等工作。包括申请人提供的所有资料、调查资料、以及入户照片等影像资料，资料整理完成后，交由市民政局指定部门保存。 3.验收依据：合同文本、磋商文件等。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进度款，合同签订后，服务商按要求配备好专业人员、完成入户调查员的培训、建立相关制度，并正常开展工作三个月，达到付款条件起15个工作日内，支付合同总金额的30.0%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进度款，合同执行6个月，完成一轮复核和新增对象入户调查工作，且按要求提供相应资料，达到付款条件起15个工作日内，支付合同总金额的40.0%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进度款，服务期满，按要求移交相应资料后，达到付款条件起15个工作日内，支付合同总金额的30.0%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因执行本合同所发生的或与本合同有关的一切争议，双方应通过友好协商，协商不成的可依法向甲方所在地的人民法院起诉。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提供投标截止前半年内任意一个月的纳税凭证或完税证明（任意税种），完税证明上应有代收机构或税务机关的公章；依法免税的供应商应提供相关文件证明。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具有履行合同所必需的设备和专业技术能力(由供应商根据项目需求提供说明材料或者承诺)。</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投标人应提交的相关资格证明材料.pdf 中小企业声明函 残疾人福利性单位声明函 商务应答表 服务内容及服务要求应答表 标的清单 报价表 响应函 监狱企业的证明文件 投标方案.pdf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响应文件封面 投标人应提交的相关资格证明材料.pdf 中小企业声明函 残疾人福利性单位声明函 商务应答表 服务内容及服务要求应答表 标的清单 报价表 响应函 监狱企业的证明文件 投标方案.pdf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响应文件封面 投标人应提交的相关资格证明材料.pdf 中小企业声明函 残疾人福利性单位声明函 商务应答表 服务内容及服务要求应答表 标的清单 报价表 响应函 监狱企业的证明文件 投标方案.pdf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提供针对本项目特点制定整体实施方案，包括但不限于：①服务思路。 ②服务内容。 ③服务方法。 以上内容专门针对本项目且符合本项目实际需求的得6分，每缺一项内容扣2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提供针对本项目有完整的管理制度，管理制度包括但不限于①员工管理制度、②人员培训制度、③档案管理制度、④内控制度及信息反馈制度等。以上内容专门针对本项目且符合本项目实际需求的得8分，每缺一项内容扣2分，若上述内容存在瑕疵，每出现一处瑕疵扣0.5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对本项目提供的进度安排及保障措施内容，包括但不限于:①分阶段详细节点划分；②各阶段实施流程；③人员配置进度保障等；以上内容专门针对本项目且符合本项目实际需求的得6分，每缺一项内容扣2分，若上述内容存在瑕疵，每出现一处瑕疵扣0.5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①服务质量保障方案；②服务保障承诺；③项目全周期责任保障承诺等；以上内容专门针对本项目且符合本项目实际需求的得6分，每缺一项内容扣2分，若上述内容存在瑕疵，每出现一处瑕疵扣0.5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供应商针对本项目有具体的服务承诺：包括但不限于①承诺所有上岗人员在上岗前经过专业培训②承诺若出现服务人员因事、病等不能工作的，及时调整其他服务人员补充③确保服务工作的正常进行。 以上内容专门针对本项目且符合本项目实际需求的得6分，每缺一项内容扣2分，若上述内容存在瑕疵，每出现一处瑕疵扣0.5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服务人员进行培训，培训内容包括但不限于①培训目的②培训对象③培训方式④培训队伍等；以上内容专门针对本项目且符合本项目实际需求的得8分，每缺一项内容扣2分，若上述内容存在瑕疵，每出现一处瑕疵扣0.5分，扣完为止。"瑕疵"指内容明显错误，或内容不完整或缺少关键点，或不适用本项目特性、套用其他项目内容 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应当配备的工作人员不少于4人，其中持有国家人力资源和社会保障部颁发的《社会工作者职业资格证书》不少于2人，得10分，每增加一人并具有国家人力资源和社会保障部颁发的《社会工作者职业资格证书》得5分，本项最高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应配备不少于1台5座（7座）机动车辆专职保障入户调查工作（提供车辆相关证明材料），车辆车龄应在6年以下，司机驾龄应在3年以上且对韩城市地形较为熟悉。得5分，每增加一辆车（提供车辆相关的证明材料）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供应商提供2022年1月1日起至今同类项目业绩（以合同签订时间为准）； （磋商响应文件中提供合同复印件并加盖供应商公章）每个计4分，共20分。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详见附件：投标方案.pdf</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