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版本号：20260506-0002320260507001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航天城院区消防管道改造</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20260506-00023</w:t>
      </w:r>
      <w:r>
        <w:br/>
      </w:r>
      <w:r>
        <w:br/>
      </w:r>
      <w:r>
        <w:br/>
      </w:r>
    </w:p>
    <w:p>
      <w:pPr>
        <w:pStyle w:val="null3"/>
        <w:jc w:val="center"/>
        <w:outlineLvl w:val="2"/>
      </w:pPr>
      <w:r>
        <w:rPr>
          <w:rFonts w:ascii="仿宋_GB2312" w:hAnsi="仿宋_GB2312" w:cs="仿宋_GB2312" w:eastAsia="仿宋_GB2312"/>
          <w:sz w:val="28"/>
          <w:b/>
        </w:rPr>
        <w:t>西安市人民医院（西安市第四医院）</w:t>
      </w:r>
    </w:p>
    <w:p>
      <w:pPr>
        <w:pStyle w:val="null3"/>
        <w:jc w:val="center"/>
        <w:outlineLvl w:val="2"/>
      </w:pPr>
      <w:r>
        <w:rPr>
          <w:rFonts w:ascii="仿宋_GB2312" w:hAnsi="仿宋_GB2312" w:cs="仿宋_GB2312" w:eastAsia="仿宋_GB2312"/>
          <w:sz w:val="28"/>
          <w:b/>
        </w:rPr>
        <w:t>永明项目管理有限公司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2026年05月07日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永明项目管理有限公司</w:t>
      </w:r>
      <w:r>
        <w:rPr>
          <w:rFonts w:ascii="仿宋_GB2312" w:hAnsi="仿宋_GB2312" w:cs="仿宋_GB2312" w:eastAsia="仿宋_GB2312"/>
        </w:rPr>
        <w:t>（以下简称“代理机构”）受</w:t>
      </w:r>
      <w:r>
        <w:rPr>
          <w:rFonts w:ascii="仿宋_GB2312" w:hAnsi="仿宋_GB2312" w:cs="仿宋_GB2312" w:eastAsia="仿宋_GB2312"/>
        </w:rPr>
        <w:t>西安市人民医院（西安市第四医院）</w:t>
      </w:r>
      <w:r>
        <w:rPr>
          <w:rFonts w:ascii="仿宋_GB2312" w:hAnsi="仿宋_GB2312" w:cs="仿宋_GB2312" w:eastAsia="仿宋_GB2312"/>
        </w:rPr>
        <w:t>委托，拟对</w:t>
      </w:r>
      <w:r>
        <w:rPr>
          <w:rFonts w:ascii="仿宋_GB2312" w:hAnsi="仿宋_GB2312" w:cs="仿宋_GB2312" w:eastAsia="仿宋_GB2312"/>
        </w:rPr>
        <w:t>航天城院区消防管道改造</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20260506-00023</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航天城院区消防管道改造</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西安市人民医院（西安市第四医院）航天城院区室外消防管道有漏水、无法保压等问题，影响消防供水，根据设计图纸及造价工程量进行消防管道改造并配合采购人完成消防验收工作。</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采购包1（航天城院区室外消防管道改造）：属于专门面向中小企业采购。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提供合格有效的法人或者其他组织的营业执照等证明文件，自然人的身份证明；供应商是法人或其他组织的应提供营业执照等证明文件，供应商是自然人的应提供有效的自然人身份证明。</w:t>
      </w:r>
    </w:p>
    <w:p>
      <w:pPr>
        <w:pStyle w:val="null3"/>
      </w:pPr>
      <w:r>
        <w:rPr>
          <w:rFonts w:ascii="仿宋_GB2312" w:hAnsi="仿宋_GB2312" w:cs="仿宋_GB2312" w:eastAsia="仿宋_GB2312"/>
        </w:rPr>
        <w:t>2、财务状况证明：供应商提供以下任何一种材料均可： ①提供2024年度或2025年度经审计的财务报告(包含审计报告和审计报告中所涉及的财务报表和报表附注)； ②提供2024年度或2025年度供应商完整的全套财务报表(应当包括资产负债表、利润表、现金流量表、所有者权益变动表、附注)； ③提供截至响应文件提交截止日前一年内银行出具的资信证明； ④供应商注册时间截至响应文件提交截止日不足一年的，也可提供在工商管理部门备案的公司章程。</w:t>
      </w:r>
    </w:p>
    <w:p>
      <w:pPr>
        <w:pStyle w:val="null3"/>
      </w:pPr>
      <w:r>
        <w:rPr>
          <w:rFonts w:ascii="仿宋_GB2312" w:hAnsi="仿宋_GB2312" w:cs="仿宋_GB2312" w:eastAsia="仿宋_GB2312"/>
        </w:rPr>
        <w:t>3、税收缴纳证明：投标供应商提供2025年以来任意1个月的纳税缴纳证明，免税企业提供税务机关出具相关的有效证明材料；</w:t>
      </w:r>
    </w:p>
    <w:p>
      <w:pPr>
        <w:pStyle w:val="null3"/>
      </w:pPr>
      <w:r>
        <w:rPr>
          <w:rFonts w:ascii="仿宋_GB2312" w:hAnsi="仿宋_GB2312" w:cs="仿宋_GB2312" w:eastAsia="仿宋_GB2312"/>
        </w:rPr>
        <w:t>4、社会保障资金缴纳证明：投标供应商提供2025年以来任意1个月的社保缴纳证明，其他组织形式供应商（如个体工商户、合作社、自然人等）可提供法人或负责人个人2025年以来任意1个月的社保资金缴纳证明材料；</w:t>
      </w:r>
    </w:p>
    <w:p>
      <w:pPr>
        <w:pStyle w:val="null3"/>
      </w:pPr>
      <w:r>
        <w:rPr>
          <w:rFonts w:ascii="仿宋_GB2312" w:hAnsi="仿宋_GB2312" w:cs="仿宋_GB2312" w:eastAsia="仿宋_GB2312"/>
        </w:rPr>
        <w:t>5、书面声明：参加政府采购活动前3年内，在经营活动中没有重大违法记录的书面声明；</w:t>
      </w:r>
    </w:p>
    <w:p>
      <w:pPr>
        <w:pStyle w:val="null3"/>
      </w:pPr>
      <w:r>
        <w:rPr>
          <w:rFonts w:ascii="仿宋_GB2312" w:hAnsi="仿宋_GB2312" w:cs="仿宋_GB2312" w:eastAsia="仿宋_GB2312"/>
        </w:rPr>
        <w:t>6、具有履行合同所必需的设备和专业技术能力：提供具有履行合同所必需的设备和专业技术能力的承诺书；</w:t>
      </w:r>
    </w:p>
    <w:p>
      <w:pPr>
        <w:pStyle w:val="null3"/>
      </w:pPr>
      <w:r>
        <w:rPr>
          <w:rFonts w:ascii="仿宋_GB2312" w:hAnsi="仿宋_GB2312" w:cs="仿宋_GB2312" w:eastAsia="仿宋_GB2312"/>
        </w:rPr>
        <w:t>7、施工资质：①具备建设行政主管部门核发的消防设施工程专业承包二级及以上资质； ②具备合法有效的安全生产许可证；</w:t>
      </w:r>
    </w:p>
    <w:p>
      <w:pPr>
        <w:pStyle w:val="null3"/>
      </w:pPr>
      <w:r>
        <w:rPr>
          <w:rFonts w:ascii="仿宋_GB2312" w:hAnsi="仿宋_GB2312" w:cs="仿宋_GB2312" w:eastAsia="仿宋_GB2312"/>
        </w:rPr>
        <w:t>8、项目经理资质要求：拟派施工项目经理需具备机电工程专业二级及以上注册建造师资格，并持有有效的安全生产考核合格证书（B证），且无在建工程、无不良记录（提供无在建工程、无不良记录承诺书）；</w:t>
      </w:r>
    </w:p>
    <w:p>
      <w:pPr>
        <w:pStyle w:val="null3"/>
      </w:pPr>
      <w:r>
        <w:rPr>
          <w:rFonts w:ascii="仿宋_GB2312" w:hAnsi="仿宋_GB2312" w:cs="仿宋_GB2312" w:eastAsia="仿宋_GB2312"/>
        </w:rPr>
        <w:t>9、信用记录：截止至响应文件递交截止时间之前，供应商未被“信用中国”网站列入失信被执行人、重大税收违法失信主体名单，未被“中国政府采购网”网站列入政府采购严重违法失信行为记录名单（以采购代理机构在磋商会议现场通过“信用中国”网站、中国政府采购网等渠道的查询结果为准）；</w:t>
      </w:r>
    </w:p>
    <w:p>
      <w:pPr>
        <w:pStyle w:val="null3"/>
      </w:pPr>
      <w:r>
        <w:rPr>
          <w:rFonts w:ascii="仿宋_GB2312" w:hAnsi="仿宋_GB2312" w:cs="仿宋_GB2312" w:eastAsia="仿宋_GB2312"/>
        </w:rPr>
        <w:t>10、授权委托书：法定代表人或单位负责人直接参加的，须提供《法定代表人或单位负责人身份证明书》；法定代表人或单位负责人授权代表参加的，须提供《法定代表人或单位负责人授权书》；</w:t>
      </w:r>
    </w:p>
    <w:p>
      <w:pPr>
        <w:pStyle w:val="null3"/>
      </w:pPr>
      <w:r>
        <w:rPr>
          <w:rFonts w:ascii="仿宋_GB2312" w:hAnsi="仿宋_GB2312" w:cs="仿宋_GB2312" w:eastAsia="仿宋_GB2312"/>
        </w:rPr>
        <w:t>11、不允许联合体参加：本项目不接受联合体参加（供应商须提供非联合体参加声明）。</w:t>
      </w:r>
    </w:p>
    <w:p>
      <w:pPr>
        <w:pStyle w:val="null3"/>
      </w:pPr>
      <w:r>
        <w:rPr>
          <w:rFonts w:ascii="仿宋_GB2312" w:hAnsi="仿宋_GB2312" w:cs="仿宋_GB2312" w:eastAsia="仿宋_GB2312"/>
        </w:rPr>
        <w:t>12、限制性条件：单位负责人为同一人或者存在直接控股、管理关系的不同供应商不得参加同一合同项下的政府采购活动；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西安市人民医院（西安市第四医院）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西安市长安区航天新城航天东路155号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029-61199741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永明项目管理有限公司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西安市雁翔路3269号旺座曲江M座2503室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李强</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13659236169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采购包1：2,538,177.97元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关于印发&lt;招标代理服务收费管理暂行办法&gt;的通知》（计价格[2002]1980号）和国家发展和改革委员会办公厅颁发的《关于招标代理服务收费有关问题的通知》（发改办价格『2003』857号）规定标准下浮20%收取。</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采购包1：组织现场踏勘：是</w:t>
            </w:r>
          </w:p>
          <w:p>
            <w:pPr>
              <w:pStyle w:val="null3"/>
              <w:ind w:firstLine="975"/>
            </w:pPr>
            <w:r>
              <w:rPr>
                <w:rFonts w:ascii="仿宋_GB2312" w:hAnsi="仿宋_GB2312" w:cs="仿宋_GB2312" w:eastAsia="仿宋_GB2312"/>
              </w:rPr>
              <w:t>踏勘时间：2026-05-15 10:00:00</w:t>
            </w:r>
          </w:p>
          <w:p>
            <w:pPr>
              <w:pStyle w:val="null3"/>
              <w:ind w:firstLine="975"/>
            </w:pPr>
            <w:r>
              <w:rPr>
                <w:rFonts w:ascii="仿宋_GB2312" w:hAnsi="仿宋_GB2312" w:cs="仿宋_GB2312" w:eastAsia="仿宋_GB2312"/>
              </w:rPr>
              <w:t>踏勘地点：西安市人民医院（西安市第四医院）航天城院区</w:t>
            </w:r>
          </w:p>
          <w:p>
            <w:pPr>
              <w:pStyle w:val="null3"/>
              <w:ind w:firstLine="975"/>
            </w:pPr>
            <w:r>
              <w:rPr>
                <w:rFonts w:ascii="仿宋_GB2312" w:hAnsi="仿宋_GB2312" w:cs="仿宋_GB2312" w:eastAsia="仿宋_GB2312"/>
              </w:rPr>
              <w:t>联系人：李强</w:t>
            </w:r>
          </w:p>
          <w:p>
            <w:pPr>
              <w:pStyle w:val="null3"/>
              <w:ind w:firstLine="975"/>
            </w:pPr>
            <w:r>
              <w:rPr>
                <w:rFonts w:ascii="仿宋_GB2312" w:hAnsi="仿宋_GB2312" w:cs="仿宋_GB2312" w:eastAsia="仿宋_GB2312"/>
              </w:rPr>
              <w:t>联系电话号码：13659236169</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西安市人民医院（西安市第四医院）</w:t>
      </w:r>
      <w:r>
        <w:rPr>
          <w:rFonts w:ascii="仿宋_GB2312" w:hAnsi="仿宋_GB2312" w:cs="仿宋_GB2312" w:eastAsia="仿宋_GB2312"/>
        </w:rPr>
        <w:t>和</w:t>
      </w:r>
      <w:r>
        <w:rPr>
          <w:rFonts w:ascii="仿宋_GB2312" w:hAnsi="仿宋_GB2312" w:cs="仿宋_GB2312" w:eastAsia="仿宋_GB2312"/>
        </w:rPr>
        <w:t>永明项目管理有限公司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西安市人民医院（西安市第四医院）</w:t>
      </w:r>
      <w:r>
        <w:rPr>
          <w:rFonts w:ascii="仿宋_GB2312" w:hAnsi="仿宋_GB2312" w:cs="仿宋_GB2312" w:eastAsia="仿宋_GB2312"/>
        </w:rPr>
        <w:t>负责解释。除上述磋商文件内容，其他内容由</w:t>
      </w:r>
      <w:r>
        <w:rPr>
          <w:rFonts w:ascii="仿宋_GB2312" w:hAnsi="仿宋_GB2312" w:cs="仿宋_GB2312" w:eastAsia="仿宋_GB2312"/>
        </w:rPr>
        <w:t>永明项目管理有限公司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西安市人民医院（西安市第四医院）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永明项目管理有限公司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采购包1：项目包干价</w:t>
      </w:r>
    </w:p>
    <w:p>
      <w:pPr>
        <w:pStyle w:val="null3"/>
      </w:pPr>
      <w:r>
        <w:rPr>
          <w:rFonts w:ascii="仿宋_GB2312" w:hAnsi="仿宋_GB2312" w:cs="仿宋_GB2312" w:eastAsia="仿宋_GB2312"/>
        </w:rPr>
        <w:t>项目包干价。适用于设计施工图纸详尽完善（即工程量固定），投资规模较小、施工工期较短且施工内容相对简单的工程项目。</w:t>
      </w:r>
    </w:p>
    <w:p>
      <w:pPr>
        <w:pStyle w:val="null3"/>
      </w:pPr>
      <w:r>
        <w:rPr>
          <w:rFonts w:ascii="仿宋_GB2312" w:hAnsi="仿宋_GB2312" w:cs="仿宋_GB2312" w:eastAsia="仿宋_GB2312"/>
        </w:rPr>
        <w:t>参加采购活动的供应商应当全部响应采购人提供的工程量清单，供应商直接给出其完成本项目全部工作内容所需的总价，不再提供已标价工程量清单。</w:t>
      </w:r>
    </w:p>
    <w:p>
      <w:pPr>
        <w:pStyle w:val="null3"/>
      </w:pPr>
      <w:r>
        <w:rPr>
          <w:rFonts w:ascii="仿宋_GB2312" w:hAnsi="仿宋_GB2312" w:cs="仿宋_GB2312" w:eastAsia="仿宋_GB2312"/>
        </w:rPr>
        <w:t>说明：采购人选择采用此种报价方式的，应当科学测算项目工程量，避免工程量调整造成履约纠纷。</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详见合同条款</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永明项目管理有限公司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永明项目管理有限公司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永明项目管理有限公司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联系人：李强</w:t>
      </w:r>
    </w:p>
    <w:p>
      <w:pPr>
        <w:pStyle w:val="null3"/>
      </w:pPr>
      <w:r>
        <w:rPr>
          <w:rFonts w:ascii="仿宋_GB2312" w:hAnsi="仿宋_GB2312" w:cs="仿宋_GB2312" w:eastAsia="仿宋_GB2312"/>
        </w:rPr>
        <w:t>联系电话：13659236169</w:t>
      </w:r>
    </w:p>
    <w:p>
      <w:pPr>
        <w:pStyle w:val="null3"/>
      </w:pPr>
      <w:r>
        <w:rPr>
          <w:rFonts w:ascii="仿宋_GB2312" w:hAnsi="仿宋_GB2312" w:cs="仿宋_GB2312" w:eastAsia="仿宋_GB2312"/>
        </w:rPr>
        <w:t>地址：西安市雁翔路3269号旺座曲江M座2503室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2,538,177.97</w:t>
      </w:r>
    </w:p>
    <w:p>
      <w:pPr>
        <w:pStyle w:val="null3"/>
      </w:pPr>
      <w:r>
        <w:rPr>
          <w:rFonts w:ascii="仿宋_GB2312" w:hAnsi="仿宋_GB2312" w:cs="仿宋_GB2312" w:eastAsia="仿宋_GB2312"/>
        </w:rPr>
        <w:t>采购包最高限价（元）: 2,538,177.97</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航天城院区消防管道改造</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2,538,177.97</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标的名称：航天城院区消防管道改造</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一、项目名称:航天城院区消防管道改造</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rPr>
              <w:t>二、设计图纸及工程量清单</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rPr>
              <w:t>1、设计公司设计图纸（图纸与工程量清单不一致时以图纸为准。）</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pPr>
            <w:r>
              <w:rPr>
                <w:rFonts w:ascii="仿宋_GB2312" w:hAnsi="仿宋_GB2312" w:cs="仿宋_GB2312" w:eastAsia="仿宋_GB2312"/>
              </w:rPr>
              <w:t>1.1、航天城院区室外消防管网改造项目室外总图-给排水专业施工图</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pPr>
            <w:r>
              <w:rPr>
                <w:rFonts w:ascii="仿宋_GB2312" w:hAnsi="仿宋_GB2312" w:cs="仿宋_GB2312" w:eastAsia="仿宋_GB2312"/>
              </w:rPr>
              <w:t>2、造价公司工程量清单 （图纸与工程量清单不一致时以图纸为准。）</w:t>
            </w: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pPr>
            <w:r>
              <w:rPr>
                <w:rFonts w:ascii="仿宋_GB2312" w:hAnsi="仿宋_GB2312" w:cs="仿宋_GB2312" w:eastAsia="仿宋_GB2312"/>
              </w:rPr>
              <w:t>2.1、航天城院区消防管道改造-工程量清单</w:t>
            </w:r>
          </w:p>
        </w:tc>
      </w:tr>
      <w:tr>
        <w:tc>
          <w:tcPr>
            <w:tcW w:type="dxa" w:w="2769"/>
          </w:tcPr>
          <w:p>
            <w:pPr>
              <w:pStyle w:val="null3"/>
            </w:pPr>
            <w:r>
              <w:rPr>
                <w:rFonts w:ascii="仿宋_GB2312" w:hAnsi="仿宋_GB2312" w:cs="仿宋_GB2312" w:eastAsia="仿宋_GB2312"/>
              </w:rPr>
              <w:t>7</w:t>
            </w:r>
          </w:p>
        </w:tc>
        <w:tc>
          <w:tcPr>
            <w:tcW w:type="dxa" w:w="2769"/>
          </w:tcPr>
          <w:p/>
        </w:tc>
        <w:tc>
          <w:tcPr>
            <w:tcW w:type="dxa" w:w="2769"/>
          </w:tcPr>
          <w:p>
            <w:pPr>
              <w:pStyle w:val="null3"/>
            </w:pPr>
            <w:r>
              <w:rPr>
                <w:rFonts w:ascii="仿宋_GB2312" w:hAnsi="仿宋_GB2312" w:cs="仿宋_GB2312" w:eastAsia="仿宋_GB2312"/>
              </w:rPr>
              <w:t>三、施工要求</w:t>
            </w:r>
          </w:p>
        </w:tc>
      </w:tr>
      <w:tr>
        <w:tc>
          <w:tcPr>
            <w:tcW w:type="dxa" w:w="2769"/>
          </w:tcPr>
          <w:p>
            <w:pPr>
              <w:pStyle w:val="null3"/>
            </w:pPr>
            <w:r>
              <w:rPr>
                <w:rFonts w:ascii="仿宋_GB2312" w:hAnsi="仿宋_GB2312" w:cs="仿宋_GB2312" w:eastAsia="仿宋_GB2312"/>
              </w:rPr>
              <w:t>8</w:t>
            </w:r>
          </w:p>
        </w:tc>
        <w:tc>
          <w:tcPr>
            <w:tcW w:type="dxa" w:w="2769"/>
          </w:tcPr>
          <w:p/>
        </w:tc>
        <w:tc>
          <w:tcPr>
            <w:tcW w:type="dxa" w:w="2769"/>
          </w:tcPr>
          <w:p>
            <w:pPr>
              <w:pStyle w:val="null3"/>
            </w:pPr>
            <w:r>
              <w:rPr>
                <w:rFonts w:ascii="仿宋_GB2312" w:hAnsi="仿宋_GB2312" w:cs="仿宋_GB2312" w:eastAsia="仿宋_GB2312"/>
              </w:rPr>
              <w:t>（一）总体原则：完善配套设施，功能与设施符合规范设计。 项目范围内的施工工艺、技术及材料的选择应具有先进性、高可靠性、实用性、经济性与合理性，满足现代化医院消防的使用要求。全部技术指标，包括材料、包装、运输、安装、调试等各项目技术参数，必须符合国家规范的相关要求。</w:t>
            </w:r>
          </w:p>
        </w:tc>
      </w:tr>
      <w:tr>
        <w:tc>
          <w:tcPr>
            <w:tcW w:type="dxa" w:w="2769"/>
          </w:tcPr>
          <w:p>
            <w:pPr>
              <w:pStyle w:val="null3"/>
            </w:pPr>
            <w:r>
              <w:rPr>
                <w:rFonts w:ascii="仿宋_GB2312" w:hAnsi="仿宋_GB2312" w:cs="仿宋_GB2312" w:eastAsia="仿宋_GB2312"/>
              </w:rPr>
              <w:t>9</w:t>
            </w:r>
          </w:p>
        </w:tc>
        <w:tc>
          <w:tcPr>
            <w:tcW w:type="dxa" w:w="2769"/>
          </w:tcPr>
          <w:p/>
        </w:tc>
        <w:tc>
          <w:tcPr>
            <w:tcW w:type="dxa" w:w="2769"/>
          </w:tcPr>
          <w:p>
            <w:pPr>
              <w:pStyle w:val="null3"/>
            </w:pPr>
            <w:r>
              <w:rPr>
                <w:rFonts w:ascii="仿宋_GB2312" w:hAnsi="仿宋_GB2312" w:cs="仿宋_GB2312" w:eastAsia="仿宋_GB2312"/>
              </w:rPr>
              <w:t>1、最终价格依照审计结果进行支付。</w:t>
            </w:r>
          </w:p>
        </w:tc>
      </w:tr>
      <w:tr>
        <w:tc>
          <w:tcPr>
            <w:tcW w:type="dxa" w:w="2769"/>
          </w:tcPr>
          <w:p>
            <w:pPr>
              <w:pStyle w:val="null3"/>
            </w:pPr>
            <w:r>
              <w:rPr>
                <w:rFonts w:ascii="仿宋_GB2312" w:hAnsi="仿宋_GB2312" w:cs="仿宋_GB2312" w:eastAsia="仿宋_GB2312"/>
              </w:rPr>
              <w:t>10</w:t>
            </w:r>
          </w:p>
        </w:tc>
        <w:tc>
          <w:tcPr>
            <w:tcW w:type="dxa" w:w="2769"/>
          </w:tcPr>
          <w:p/>
        </w:tc>
        <w:tc>
          <w:tcPr>
            <w:tcW w:type="dxa" w:w="2769"/>
          </w:tcPr>
          <w:p>
            <w:pPr>
              <w:pStyle w:val="null3"/>
            </w:pPr>
            <w:r>
              <w:rPr>
                <w:rFonts w:ascii="仿宋_GB2312" w:hAnsi="仿宋_GB2312" w:cs="仿宋_GB2312" w:eastAsia="仿宋_GB2312"/>
              </w:rPr>
              <w:t>2、协助配合采购人做好消防改造工程的解决办法、施工方案等工作，不计费用。</w:t>
            </w:r>
          </w:p>
        </w:tc>
      </w:tr>
      <w:tr>
        <w:tc>
          <w:tcPr>
            <w:tcW w:type="dxa" w:w="2769"/>
          </w:tcPr>
          <w:p>
            <w:pPr>
              <w:pStyle w:val="null3"/>
            </w:pPr>
            <w:r>
              <w:rPr>
                <w:rFonts w:ascii="仿宋_GB2312" w:hAnsi="仿宋_GB2312" w:cs="仿宋_GB2312" w:eastAsia="仿宋_GB2312"/>
              </w:rPr>
              <w:t>11</w:t>
            </w:r>
          </w:p>
        </w:tc>
        <w:tc>
          <w:tcPr>
            <w:tcW w:type="dxa" w:w="2769"/>
          </w:tcPr>
          <w:p/>
        </w:tc>
        <w:tc>
          <w:tcPr>
            <w:tcW w:type="dxa" w:w="2769"/>
          </w:tcPr>
          <w:p>
            <w:pPr>
              <w:pStyle w:val="null3"/>
            </w:pPr>
            <w:r>
              <w:rPr>
                <w:rFonts w:ascii="仿宋_GB2312" w:hAnsi="仿宋_GB2312" w:cs="仿宋_GB2312" w:eastAsia="仿宋_GB2312"/>
              </w:rPr>
              <w:t>3、严格按照采购人的指令要求进行施工，做好施工前、施工过程和施工后的照片记录，按要求做好验收、工程量签证，提交工程量清单，及时编制并提交工程结算。</w:t>
            </w:r>
          </w:p>
        </w:tc>
      </w:tr>
      <w:tr>
        <w:tc>
          <w:tcPr>
            <w:tcW w:type="dxa" w:w="2769"/>
          </w:tcPr>
          <w:p>
            <w:pPr>
              <w:pStyle w:val="null3"/>
            </w:pPr>
            <w:r>
              <w:rPr>
                <w:rFonts w:ascii="仿宋_GB2312" w:hAnsi="仿宋_GB2312" w:cs="仿宋_GB2312" w:eastAsia="仿宋_GB2312"/>
              </w:rPr>
              <w:t>12</w:t>
            </w:r>
          </w:p>
        </w:tc>
        <w:tc>
          <w:tcPr>
            <w:tcW w:type="dxa" w:w="2769"/>
          </w:tcPr>
          <w:p/>
        </w:tc>
        <w:tc>
          <w:tcPr>
            <w:tcW w:type="dxa" w:w="2769"/>
          </w:tcPr>
          <w:p>
            <w:pPr>
              <w:pStyle w:val="null3"/>
            </w:pPr>
            <w:r>
              <w:rPr>
                <w:rFonts w:ascii="仿宋_GB2312" w:hAnsi="仿宋_GB2312" w:cs="仿宋_GB2312" w:eastAsia="仿宋_GB2312"/>
              </w:rPr>
              <w:t>4、承包方应为现场施工人员购买保险，相关用工风险、法律责任等由中标单位自行承担，施工过程要做好工程范围的安全防护措施，发生一切安全事故均由施工单位负责，采购人不承担任何责任。</w:t>
            </w:r>
          </w:p>
        </w:tc>
      </w:tr>
      <w:tr>
        <w:tc>
          <w:tcPr>
            <w:tcW w:type="dxa" w:w="2769"/>
          </w:tcPr>
          <w:p>
            <w:pPr>
              <w:pStyle w:val="null3"/>
            </w:pPr>
            <w:r>
              <w:rPr>
                <w:rFonts w:ascii="仿宋_GB2312" w:hAnsi="仿宋_GB2312" w:cs="仿宋_GB2312" w:eastAsia="仿宋_GB2312"/>
              </w:rPr>
              <w:t>13</w:t>
            </w:r>
          </w:p>
        </w:tc>
        <w:tc>
          <w:tcPr>
            <w:tcW w:type="dxa" w:w="2769"/>
          </w:tcPr>
          <w:p/>
        </w:tc>
        <w:tc>
          <w:tcPr>
            <w:tcW w:type="dxa" w:w="2769"/>
          </w:tcPr>
          <w:p>
            <w:pPr>
              <w:pStyle w:val="null3"/>
            </w:pPr>
            <w:r>
              <w:rPr>
                <w:rFonts w:ascii="仿宋_GB2312" w:hAnsi="仿宋_GB2312" w:cs="仿宋_GB2312" w:eastAsia="仿宋_GB2312"/>
              </w:rPr>
              <w:t>5、该工程中所用材料必须符合国家、行业标准，承包方在投标文件须注明品牌并随附相关产品检测报告。</w:t>
            </w:r>
          </w:p>
        </w:tc>
      </w:tr>
      <w:tr>
        <w:tc>
          <w:tcPr>
            <w:tcW w:type="dxa" w:w="2769"/>
          </w:tcPr>
          <w:p>
            <w:pPr>
              <w:pStyle w:val="null3"/>
            </w:pPr>
            <w:r>
              <w:rPr>
                <w:rFonts w:ascii="仿宋_GB2312" w:hAnsi="仿宋_GB2312" w:cs="仿宋_GB2312" w:eastAsia="仿宋_GB2312"/>
              </w:rPr>
              <w:t>14</w:t>
            </w:r>
          </w:p>
        </w:tc>
        <w:tc>
          <w:tcPr>
            <w:tcW w:type="dxa" w:w="2769"/>
          </w:tcPr>
          <w:p/>
        </w:tc>
        <w:tc>
          <w:tcPr>
            <w:tcW w:type="dxa" w:w="2769"/>
          </w:tcPr>
          <w:p>
            <w:pPr>
              <w:pStyle w:val="null3"/>
            </w:pPr>
            <w:r>
              <w:rPr>
                <w:rFonts w:ascii="仿宋_GB2312" w:hAnsi="仿宋_GB2312" w:cs="仿宋_GB2312" w:eastAsia="仿宋_GB2312"/>
              </w:rPr>
              <w:t>（二）相关行业规范（包含但不限于以下行业规范） 现行的国家及陕西省有关建筑及建筑装饰工程设计相关专业规程、规范和规定。 《建筑给水排水与节水通用规范》 (GB55020-2021); 《建筑节能与可再生能源利用通用规范》 (GB55015-2021); 《建筑与市政工程抗震通用规范》 (GB55002-2021); 《建筑与市政工程无障碍通用规范》 (GB55019-2021); 《城市给水工程项目规范》GB55026-2022 《室外给水设计标准》(GB 50013-2018); 《城乡排水工程项目规范》GB55027-2022 《室外排水设计标准》(GB 50014-2021); 《消防给水及消火栓系统技术规范》(GB 50794-2014); 《建筑设计防火规范》(GB 50016-2022); 《建筑给水排水设计标准》(GB 50015-2019); 《污水综合排放标准》(GB 8978-1996);《消防设施通用规范》(GB55036-2022); 《建筑与小区雨水控制及利用工程技术规范》(GB50400-2016); 《室外给水排水和燃气热力工程抗震设计规范》(GB50032-2003); 《建筑给水排水及采暖工程施工质量验收规范》(GB 50242-2002); 注:若图纸中出现跟上述技术标准与规范不同之处，须以国家颁布最新规范为准。</w:t>
            </w:r>
          </w:p>
        </w:tc>
      </w:tr>
      <w:tr>
        <w:tc>
          <w:tcPr>
            <w:tcW w:type="dxa" w:w="2769"/>
          </w:tcPr>
          <w:p>
            <w:pPr>
              <w:pStyle w:val="null3"/>
            </w:pPr>
            <w:r>
              <w:rPr>
                <w:rFonts w:ascii="仿宋_GB2312" w:hAnsi="仿宋_GB2312" w:cs="仿宋_GB2312" w:eastAsia="仿宋_GB2312"/>
              </w:rPr>
              <w:t>15</w:t>
            </w:r>
          </w:p>
        </w:tc>
        <w:tc>
          <w:tcPr>
            <w:tcW w:type="dxa" w:w="2769"/>
          </w:tcPr>
          <w:p/>
        </w:tc>
        <w:tc>
          <w:tcPr>
            <w:tcW w:type="dxa" w:w="2769"/>
          </w:tcPr>
          <w:p>
            <w:pPr>
              <w:pStyle w:val="null3"/>
            </w:pPr>
            <w:r>
              <w:rPr>
                <w:rFonts w:ascii="仿宋_GB2312" w:hAnsi="仿宋_GB2312" w:cs="仿宋_GB2312" w:eastAsia="仿宋_GB2312"/>
              </w:rPr>
              <w:t>（三）施工方配合采购人消防验收，确保本项目通过消防验收；本项目因验收出现的问题，施工方须无条件配合采购人进行整改。</w:t>
            </w:r>
          </w:p>
        </w:tc>
      </w:tr>
      <w:tr>
        <w:tc>
          <w:tcPr>
            <w:tcW w:type="dxa" w:w="2769"/>
          </w:tcPr>
          <w:p>
            <w:pPr>
              <w:pStyle w:val="null3"/>
            </w:pPr>
            <w:r>
              <w:rPr>
                <w:rFonts w:ascii="仿宋_GB2312" w:hAnsi="仿宋_GB2312" w:cs="仿宋_GB2312" w:eastAsia="仿宋_GB2312"/>
              </w:rPr>
              <w:t>16</w:t>
            </w:r>
          </w:p>
        </w:tc>
        <w:tc>
          <w:tcPr>
            <w:tcW w:type="dxa" w:w="2769"/>
          </w:tcPr>
          <w:p/>
        </w:tc>
        <w:tc>
          <w:tcPr>
            <w:tcW w:type="dxa" w:w="2769"/>
          </w:tcPr>
          <w:p>
            <w:pPr>
              <w:pStyle w:val="null3"/>
            </w:pPr>
            <w:r>
              <w:rPr>
                <w:rFonts w:ascii="仿宋_GB2312" w:hAnsi="仿宋_GB2312" w:cs="仿宋_GB2312" w:eastAsia="仿宋_GB2312"/>
              </w:rPr>
              <w:t>（四）建筑垃圾处置 本项目产生的建筑垃圾由承包方自行清运并合规处理，工完场清。此类垃圾不包含拆除的固定资产，固定资产须按采购人要求存放。</w:t>
            </w:r>
          </w:p>
        </w:tc>
      </w:tr>
      <w:tr>
        <w:tc>
          <w:tcPr>
            <w:tcW w:type="dxa" w:w="2769"/>
          </w:tcPr>
          <w:p>
            <w:pPr>
              <w:pStyle w:val="null3"/>
            </w:pPr>
            <w:r>
              <w:rPr>
                <w:rFonts w:ascii="仿宋_GB2312" w:hAnsi="仿宋_GB2312" w:cs="仿宋_GB2312" w:eastAsia="仿宋_GB2312"/>
              </w:rPr>
              <w:t>17</w:t>
            </w:r>
          </w:p>
        </w:tc>
        <w:tc>
          <w:tcPr>
            <w:tcW w:type="dxa" w:w="2769"/>
          </w:tcPr>
          <w:p/>
        </w:tc>
        <w:tc>
          <w:tcPr>
            <w:tcW w:type="dxa" w:w="2769"/>
          </w:tcPr>
          <w:p>
            <w:pPr>
              <w:pStyle w:val="null3"/>
            </w:pPr>
            <w:r>
              <w:rPr>
                <w:rFonts w:ascii="仿宋_GB2312" w:hAnsi="仿宋_GB2312" w:cs="仿宋_GB2312" w:eastAsia="仿宋_GB2312"/>
              </w:rPr>
              <w:t>四、其他要求</w:t>
            </w:r>
          </w:p>
        </w:tc>
      </w:tr>
      <w:tr>
        <w:tc>
          <w:tcPr>
            <w:tcW w:type="dxa" w:w="2769"/>
          </w:tcPr>
          <w:p>
            <w:pPr>
              <w:pStyle w:val="null3"/>
            </w:pPr>
            <w:r>
              <w:rPr>
                <w:rFonts w:ascii="仿宋_GB2312" w:hAnsi="仿宋_GB2312" w:cs="仿宋_GB2312" w:eastAsia="仿宋_GB2312"/>
              </w:rPr>
              <w:t>18</w:t>
            </w:r>
          </w:p>
        </w:tc>
        <w:tc>
          <w:tcPr>
            <w:tcW w:type="dxa" w:w="2769"/>
          </w:tcPr>
          <w:p/>
        </w:tc>
        <w:tc>
          <w:tcPr>
            <w:tcW w:type="dxa" w:w="2769"/>
          </w:tcPr>
          <w:p>
            <w:pPr>
              <w:pStyle w:val="null3"/>
            </w:pPr>
            <w:r>
              <w:rPr>
                <w:rFonts w:ascii="仿宋_GB2312" w:hAnsi="仿宋_GB2312" w:cs="仿宋_GB2312" w:eastAsia="仿宋_GB2312"/>
              </w:rPr>
              <w:t>1、凡需要列入固定资产的，须开具货物类发票（税务系统清单式发票），否则无法付款，造成的法律与经济责任由乙方负责。（注：固定资产是指使用年限超过1年(不含1年)、单位价值在1000元及以上(其中：专业设备单位价值在1500元及以上),并在使用过程中基本保持原有物质形态的资产，包括房屋和构筑物、设备、图书和档案、家具和用具等。单位价值虽未达到规定标准，但是使用年限超过1年(不含1年)的大批同类物资，如图书、家具、用具、装具等，应当确认为固定资产。）</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达到国家及行业现行技术规范标准，符合国家及行业验收合格标准。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详见清单编制说明。</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本项目预算金额为253.817797万元（含暂列金20.71万元），暂列金为不可竞争费，包含在总价内，不得变动，否则按无效标处理。 1.进入相关部门“黑名单”的供应商以及有行贿、串标等违法违规行为并经查实的供应商不能参与本院采购项目的投标活动。对“黑名单”中供应商采取“一票否决”及“随时叫停”机制，在报名、资格审核、评审、公示、合同签订等各环节一旦发现并查实有行贿等违法违规行为的，立即取消其相关资格且终止合同签订。 2.根据西安市财政局《关于促进政府采购公平竞争优化营商环境的通知》（市财函[2021]431号）文中“第16条规定 供应商登记免费领取采购文件的，如不参与项目投标，应在递交投标（或相应）文件截止时间前一日以书面形式告知采购代理机构。否则，采购代理机构可以向财政部门反映情况并提供相应的佐证。供应商一年内累计出现三次该情形，将被监管部门记录失信行为”。 3.供应商必须填写“陕西省政府采购供货商拒绝政府采购领域商业贿赂承诺书”（详见采购文件附件其他材料）、“政府采购活动行为自律承诺书（一）”（详见采购文件附件其他材料）和“政府采购活动行为自律承诺书（二）”（详见采购文件附件其他材料），未填写的将按按无效标处理。 4.合同履行期限：施工工期：以监理工程师签发的《工程开工令》起≤60个日历日，无论工程大小难易以及节假日与夜间施工，要求承包方积极组织施工力量正常施工，服从采购人工作安排，完成全部项目装修工程并交付采购人验收合格使用，不得延期。工程如逢元旦、春节、端午、五一、中秋、国庆及周末等节假日，不能停工（除采购人因特殊事件要求停工外），每停工一天，扣合同总价的1％。 5.合同履约地点：采购人指定地点。 6.合同支付约定：详见采购文件第八章合同内容。 7.验收交付标准和方法：详见采购文件第八章合同内容。 8.质量保修范围和保修期： 自竣工验收合格之日起：本项目消防改造工程整体（管道、消火栓、水泵、阀门、管件等）质保期≥5 年。质保期内，因施工质量、材料、安装工艺造成的渗漏、开裂、系统故障等，由承包方4小时应急响应、24 小时内免费维修更换，并承担由此造成的相关损失。质保期内，凡因乙方施工质量、材料质量、安装工艺问题导致的以下故障，均属免费保修范围：①消防管道接口渗漏、开裂、脱丝、松动；②管道支吊架松动、脱落、变形；③阀门渗漏、关闭不严、启闭失灵；④系统试压不合格、水压不足、流量不达标；⑤管道堵塞、水锤损坏、安装不合理导致的系统故障；⑥因施工原因造成的墙面、地面渗水、返潮等次生问题。 9.知识产权归属和处理方式：详见采购文件第八章合同内容。 10.成本补偿和风险分担约定：详见采购文件第八章合同内容。 11.违约责任与解决争议的方法：合同执行中发生争议的，当事人双方应协商解决，无法协商或协商达不成一致时，双方均有权向装修工程所在地人民法院提请诉讼。</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供应商提供以下任何一种材料均可： ①提供2024年度或2025年度经审计的财务报告(包含审计报告和审计报告中所涉及的财务报表和报表附注)； ②提供2024年度或2025年度供应商完整的全套财务报表(应当包括资产负债表、利润表、现金流量表、所有者权益变动表、附注)； ③提供截至响应文件提交截止日前一年内银行出具的资信证明； ④供应商注册时间截至响应文件提交截止日不足一年的，也可提供在工商管理部门备案的公司章程。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 资格证明文件.docx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提供合格有效的法人或者其他组织的营业执照等证明文件，自然人的身份证明；供应商是法人或其他组织的应提供营业执照等证明文件，供应商是自然人的应提供有效的自然人身份证明。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供应商提供以下任何一种材料均可： ①提供2024年度或2025年度经审计的财务报告(包含审计报告和审计报告中所涉及的财务报表和报表附注)； ②提供2024年度或2025年度供应商完整的全套财务报表(应当包括资产负债表、利润表、现金流量表、所有者权益变动表、附注)； ③提供截至响应文件提交截止日前一年内银行出具的资信证明； ④供应商注册时间截至响应文件提交截止日不足一年的，也可提供在工商管理部门备案的公司章程。</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投标供应商提供2025年以来任意1个月的纳税缴纳证明，免税企业提供税务机关出具相关的有效证明材料；</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投标供应商提供2025年以来任意1个月的社保缴纳证明，其他组织形式供应商（如个体工商户、合作社、自然人等）可提供法人或负责人个人2025年以来任意1个月的社保资金缴纳证明材料；</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具有履行合同所必需的设备和专业技术能力</w:t>
            </w:r>
          </w:p>
        </w:tc>
        <w:tc>
          <w:tcPr>
            <w:tcW w:type="dxa" w:w="3322"/>
          </w:tcPr>
          <w:p>
            <w:pPr>
              <w:pStyle w:val="null3"/>
            </w:pPr>
            <w:r>
              <w:rPr>
                <w:rFonts w:ascii="仿宋_GB2312" w:hAnsi="仿宋_GB2312" w:cs="仿宋_GB2312" w:eastAsia="仿宋_GB2312"/>
              </w:rPr>
              <w:t>提供具有履行合同所必需的设备和专业技术能力的承诺书；</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施工资质</w:t>
            </w:r>
          </w:p>
        </w:tc>
        <w:tc>
          <w:tcPr>
            <w:tcW w:type="dxa" w:w="3322"/>
          </w:tcPr>
          <w:p>
            <w:pPr>
              <w:pStyle w:val="null3"/>
            </w:pPr>
            <w:r>
              <w:rPr>
                <w:rFonts w:ascii="仿宋_GB2312" w:hAnsi="仿宋_GB2312" w:cs="仿宋_GB2312" w:eastAsia="仿宋_GB2312"/>
              </w:rPr>
              <w:t>①具备建设行政主管部门核发的消防设施工程专业承包二级及以上资质； ②具备合法有效的安全生产许可证；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项目经理资质要求</w:t>
            </w:r>
          </w:p>
        </w:tc>
        <w:tc>
          <w:tcPr>
            <w:tcW w:type="dxa" w:w="3322"/>
          </w:tcPr>
          <w:p>
            <w:pPr>
              <w:pStyle w:val="null3"/>
            </w:pPr>
            <w:r>
              <w:rPr>
                <w:rFonts w:ascii="仿宋_GB2312" w:hAnsi="仿宋_GB2312" w:cs="仿宋_GB2312" w:eastAsia="仿宋_GB2312"/>
              </w:rPr>
              <w:t>拟派施工项目经理需具备机电工程专业二级及以上注册建造师资格，并持有有效的安全生产考核合格证书（B证），且无在建工程、无不良记录（提供无在建工程、无不良记录承诺书）；</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截止至响应文件递交截止时间之前，供应商未被“信用中国”网站列入失信被执行人、重大税收违法失信主体名单，未被“中国政府采购网”网站列入政府采购严重违法失信行为记录名单（以采购代理机构在磋商会议现场通过“信用中国”网站、中国政府采购网等渠道的查询结果为准）；</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授权委托书</w:t>
            </w:r>
          </w:p>
        </w:tc>
        <w:tc>
          <w:tcPr>
            <w:tcW w:type="dxa" w:w="3322"/>
          </w:tcPr>
          <w:p>
            <w:pPr>
              <w:pStyle w:val="null3"/>
            </w:pPr>
            <w:r>
              <w:rPr>
                <w:rFonts w:ascii="仿宋_GB2312" w:hAnsi="仿宋_GB2312" w:cs="仿宋_GB2312" w:eastAsia="仿宋_GB2312"/>
              </w:rPr>
              <w:t>法定代表人或单位负责人直接参加的，须提供《法定代表人或单位负责人身份证明书》；法定代表人或单位负责人授权代表参加的，须提供《法定代表人或单位负责人授权书》；</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不允许联合体参加</w:t>
            </w:r>
          </w:p>
        </w:tc>
        <w:tc>
          <w:tcPr>
            <w:tcW w:type="dxa" w:w="3322"/>
          </w:tcPr>
          <w:p>
            <w:pPr>
              <w:pStyle w:val="null3"/>
            </w:pPr>
            <w:r>
              <w:rPr>
                <w:rFonts w:ascii="仿宋_GB2312" w:hAnsi="仿宋_GB2312" w:cs="仿宋_GB2312" w:eastAsia="仿宋_GB2312"/>
              </w:rPr>
              <w:t>本项目不接受联合体参加（供应商须提供非联合体参加声明）。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限制性条件</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政府采购异常低价审查：（一）政府采购评审中出现下列情形之一的，评审委员会应当启动异常低价投标（响应）审查程序：1.投标（响应）报价低于全部通过符合性审查供应商投标（响应）报价平均值50%的，即投标（响应）报价&lt;全部通过符合性审查供应商投标（响应）报价平均值×50%；2.投标（响应）报价低于通过符合性审查的次低报价供应商投标（响应）报价50%的，即投标（响应）报价&lt;通过符合性审查的次低报价供应商投标（响应）报价×50%；3.投标（响应）报价低于采购项目最高限价45%的，即投标（响应）报价&lt;采购项目最高限价×45%；4.评审委员会基于专业判断，认为供应商报价过低，有可能影响产品质量或者不能诚信履约的其他情形。（二）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c>
          <w:tcPr>
            <w:tcW w:type="dxa" w:w="1661"/>
          </w:tcPr>
          <w:p>
            <w:pPr>
              <w:pStyle w:val="null3"/>
            </w:pPr>
            <w:r>
              <w:rPr>
                <w:rFonts w:ascii="仿宋_GB2312" w:hAnsi="仿宋_GB2312" w:cs="仿宋_GB2312" w:eastAsia="仿宋_GB2312"/>
              </w:rPr>
              <w:t>响应分项报价表（首次）（必填）.docx 报价一览表（首次报价表）（必填）.docx 合同条款偏离表.docx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磋商响应文件的签署盖章</w:t>
            </w:r>
          </w:p>
        </w:tc>
        <w:tc>
          <w:tcPr>
            <w:tcW w:type="dxa" w:w="3322"/>
          </w:tcPr>
          <w:p>
            <w:pPr>
              <w:pStyle w:val="null3"/>
            </w:pPr>
            <w:r>
              <w:rPr>
                <w:rFonts w:ascii="仿宋_GB2312" w:hAnsi="仿宋_GB2312" w:cs="仿宋_GB2312" w:eastAsia="仿宋_GB2312"/>
              </w:rPr>
              <w:t>磋商响应文件按竞争性磋商文件要求签署、盖章；</w:t>
            </w:r>
          </w:p>
        </w:tc>
        <w:tc>
          <w:tcPr>
            <w:tcW w:type="dxa" w:w="1661"/>
          </w:tcPr>
          <w:p>
            <w:pPr>
              <w:pStyle w:val="null3"/>
            </w:pPr>
            <w:r>
              <w:rPr>
                <w:rFonts w:ascii="仿宋_GB2312" w:hAnsi="仿宋_GB2312" w:cs="仿宋_GB2312" w:eastAsia="仿宋_GB2312"/>
              </w:rPr>
              <w:t>响应文件封面 响应分项报价表（首次）（必填）.docx 报价一览表（首次报价表）（必填）.docx 合同条款偏离表.docx 中小企业声明函 残疾人福利性单位声明函 其他资料.docx 商务应答表.docx 响应函 资格证明文件.docx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磋商响应文件格式</w:t>
            </w:r>
          </w:p>
        </w:tc>
        <w:tc>
          <w:tcPr>
            <w:tcW w:type="dxa" w:w="3322"/>
          </w:tcPr>
          <w:p>
            <w:pPr>
              <w:pStyle w:val="null3"/>
            </w:pPr>
            <w:r>
              <w:rPr>
                <w:rFonts w:ascii="仿宋_GB2312" w:hAnsi="仿宋_GB2312" w:cs="仿宋_GB2312" w:eastAsia="仿宋_GB2312"/>
              </w:rPr>
              <w:t>应符合“磋商响应文件格式”要求。</w:t>
            </w:r>
          </w:p>
        </w:tc>
        <w:tc>
          <w:tcPr>
            <w:tcW w:type="dxa" w:w="1661"/>
          </w:tcPr>
          <w:p>
            <w:pPr>
              <w:pStyle w:val="null3"/>
            </w:pPr>
            <w:r>
              <w:rPr>
                <w:rFonts w:ascii="仿宋_GB2312" w:hAnsi="仿宋_GB2312" w:cs="仿宋_GB2312" w:eastAsia="仿宋_GB2312"/>
              </w:rPr>
              <w:t>合同条款偏离表.docx 中小企业声明函 工程量清单编制说明.docx 商务应答表.docx 资格证明文件.docx 响应文件封面 响应分项报价表（首次）（必填）.docx 报价一览表（首次报价表）（必填）.docx 残疾人福利性单位声明函 其他资料.docx 实施方案.docx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按磋商文件要求报价，不得提交选择性报价，且第一轮报价不超过采购预算金额或最高限价；暂列金包含在总价内，不得变动。</w:t>
            </w:r>
          </w:p>
        </w:tc>
        <w:tc>
          <w:tcPr>
            <w:tcW w:type="dxa" w:w="1661"/>
          </w:tcPr>
          <w:p>
            <w:pPr>
              <w:pStyle w:val="null3"/>
            </w:pPr>
            <w:r>
              <w:rPr>
                <w:rFonts w:ascii="仿宋_GB2312" w:hAnsi="仿宋_GB2312" w:cs="仿宋_GB2312" w:eastAsia="仿宋_GB2312"/>
              </w:rPr>
              <w:t>响应分项报价表（首次）（必填）.docx 报价一览表（二次报价表）.docx 报价一览表（首次报价表）（必填）.docx 合同条款偏离表.docx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实质性条款响应</w:t>
            </w:r>
          </w:p>
        </w:tc>
        <w:tc>
          <w:tcPr>
            <w:tcW w:type="dxa" w:w="3322"/>
          </w:tcPr>
          <w:p>
            <w:pPr>
              <w:pStyle w:val="null3"/>
            </w:pPr>
            <w:r>
              <w:rPr>
                <w:rFonts w:ascii="仿宋_GB2312" w:hAnsi="仿宋_GB2312" w:cs="仿宋_GB2312" w:eastAsia="仿宋_GB2312"/>
              </w:rPr>
              <w:t>完全响应磋商文件要求的实质性条款（磋商文件中进行专门说明或表明的条款为实质性条款），或按无效标处理的条款均为实质性条款。</w:t>
            </w:r>
          </w:p>
        </w:tc>
        <w:tc>
          <w:tcPr>
            <w:tcW w:type="dxa" w:w="1661"/>
          </w:tcPr>
          <w:p>
            <w:pPr>
              <w:pStyle w:val="null3"/>
            </w:pPr>
            <w:r>
              <w:rPr>
                <w:rFonts w:ascii="仿宋_GB2312" w:hAnsi="仿宋_GB2312" w:cs="仿宋_GB2312" w:eastAsia="仿宋_GB2312"/>
              </w:rPr>
              <w:t>响应文件封面 响应分项报价表（首次）（必填）.docx 报价一览表（首次报价表）（必填）.docx 中小企业声明函 残疾人福利性单位声明函 合同条款偏离表.docx 其他资料.docx 商务应答表.docx 响应函 资格证明文件.docx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响应文件是否含有采购人不能接受的附加条件的或其他情形</w:t>
            </w:r>
          </w:p>
        </w:tc>
        <w:tc>
          <w:tcPr>
            <w:tcW w:type="dxa" w:w="3322"/>
          </w:tcPr>
          <w:p>
            <w:pPr>
              <w:pStyle w:val="null3"/>
            </w:pPr>
            <w:r>
              <w:rPr>
                <w:rFonts w:ascii="仿宋_GB2312" w:hAnsi="仿宋_GB2312" w:cs="仿宋_GB2312" w:eastAsia="仿宋_GB2312"/>
              </w:rPr>
              <w:t>响应文件未含有采购人不能接受的附加条件的或其他情形。</w:t>
            </w:r>
          </w:p>
        </w:tc>
        <w:tc>
          <w:tcPr>
            <w:tcW w:type="dxa" w:w="1661"/>
          </w:tcPr>
          <w:p>
            <w:pPr>
              <w:pStyle w:val="null3"/>
            </w:pPr>
            <w:r>
              <w:rPr>
                <w:rFonts w:ascii="仿宋_GB2312" w:hAnsi="仿宋_GB2312" w:cs="仿宋_GB2312" w:eastAsia="仿宋_GB2312"/>
              </w:rPr>
              <w:t>响应文件封面 响应分项报价表（首次）（必填）.docx 报价一览表（首次报价表）（必填）.docx 中小企业声明函 残疾人福利性单位声明函 工程量清单编制说明.docx 合同条款偏离表.docx 其他资料.docx 商务应答表.docx 响应函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磋商响应有效期</w:t>
            </w:r>
          </w:p>
        </w:tc>
        <w:tc>
          <w:tcPr>
            <w:tcW w:type="dxa" w:w="3322"/>
          </w:tcPr>
          <w:p>
            <w:pPr>
              <w:pStyle w:val="null3"/>
            </w:pPr>
            <w:r>
              <w:rPr>
                <w:rFonts w:ascii="仿宋_GB2312" w:hAnsi="仿宋_GB2312" w:cs="仿宋_GB2312" w:eastAsia="仿宋_GB2312"/>
              </w:rPr>
              <w:t>应满足采购文件中的规定；</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响应文件是否响应“陕西省政府采购供货商拒绝政府采购领域商业贿赂承诺书、参加政府采购活动行为自律承诺书（一）、参加政府采购活动行为自律承诺书（二）”</w:t>
            </w:r>
          </w:p>
        </w:tc>
        <w:tc>
          <w:tcPr>
            <w:tcW w:type="dxa" w:w="3322"/>
          </w:tcPr>
          <w:p>
            <w:pPr>
              <w:pStyle w:val="null3"/>
            </w:pPr>
            <w:r>
              <w:rPr>
                <w:rFonts w:ascii="仿宋_GB2312" w:hAnsi="仿宋_GB2312" w:cs="仿宋_GB2312" w:eastAsia="仿宋_GB2312"/>
              </w:rPr>
              <w:t>响应文件响应“陕西省政府采购供货商拒绝政府采购领域商业贿赂承诺书、参加政府采购活动行为自律承诺书（一）、参加政府采购活动行为自律承诺书（二）”</w:t>
            </w:r>
          </w:p>
        </w:tc>
        <w:tc>
          <w:tcPr>
            <w:tcW w:type="dxa" w:w="1661"/>
          </w:tcPr>
          <w:p>
            <w:pPr>
              <w:pStyle w:val="null3"/>
            </w:pPr>
            <w:r>
              <w:rPr>
                <w:rFonts w:ascii="仿宋_GB2312" w:hAnsi="仿宋_GB2312" w:cs="仿宋_GB2312" w:eastAsia="仿宋_GB2312"/>
              </w:rPr>
              <w:t>其他资料.docx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授权代表社保缴纳证明材料</w:t>
            </w:r>
          </w:p>
        </w:tc>
        <w:tc>
          <w:tcPr>
            <w:tcW w:type="dxa" w:w="3322"/>
          </w:tcPr>
          <w:p>
            <w:pPr>
              <w:pStyle w:val="null3"/>
            </w:pPr>
            <w:r>
              <w:rPr>
                <w:rFonts w:ascii="仿宋_GB2312" w:hAnsi="仿宋_GB2312" w:cs="仿宋_GB2312" w:eastAsia="仿宋_GB2312"/>
              </w:rPr>
              <w:t>法定代表人或单位负责人授权合法代表参加磋商会议的，须提供2025年1月1日以来任意1个月的社保缴纳证明材料。</w:t>
            </w:r>
          </w:p>
        </w:tc>
        <w:tc>
          <w:tcPr>
            <w:tcW w:type="dxa" w:w="1661"/>
          </w:tcPr>
          <w:p>
            <w:pPr>
              <w:pStyle w:val="null3"/>
            </w:pPr>
            <w:r>
              <w:rPr>
                <w:rFonts w:ascii="仿宋_GB2312" w:hAnsi="仿宋_GB2312" w:cs="仿宋_GB2312" w:eastAsia="仿宋_GB2312"/>
              </w:rPr>
              <w:t>资格证明文件.docx</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技术、服务标准和要求响应</w:t>
            </w:r>
          </w:p>
        </w:tc>
        <w:tc>
          <w:tcPr>
            <w:tcW w:type="dxa" w:w="2492"/>
          </w:tcPr>
          <w:p>
            <w:pPr>
              <w:pStyle w:val="null3"/>
            </w:pPr>
            <w:r>
              <w:rPr>
                <w:rFonts w:ascii="仿宋_GB2312" w:hAnsi="仿宋_GB2312" w:cs="仿宋_GB2312" w:eastAsia="仿宋_GB2312"/>
              </w:rPr>
              <w:t>根据招标文件要求第三章3.1技术、服务标准和要求（除各大项标题外的14小项）审核投标文件中的响应，完全响应满足招标文件要求，得7分；有一项不响应或响应内容不全，均视为负偏离，扣0.5分。 备注：以投标人投标文件中“《技术、服务标准和要求》响应表”响应内容为准，供应商对其响应真实性负责。</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提供针对本项目的具体的实施方案，包括但不限于：①工作重点与难点分析及对应措施；②详细的施工方案（包含施工总平面图）；③周边设施及成品保护方案；④新技术、新产品、新工艺、新材料应用；⑤工程资料管理方案。方案各部分内容全面详细、阐述条理清晰详尽、符合本项目采购需求，能够确保项目顺利实施；以上每单项满分为2分，如单项缺项，该单项不得分；每有一处有缺陷扣0.5分，单项分数扣完为止。说明：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安全作业方案</w:t>
            </w:r>
          </w:p>
        </w:tc>
        <w:tc>
          <w:tcPr>
            <w:tcW w:type="dxa" w:w="2492"/>
          </w:tcPr>
          <w:p>
            <w:pPr>
              <w:pStyle w:val="null3"/>
            </w:pPr>
            <w:r>
              <w:rPr>
                <w:rFonts w:ascii="仿宋_GB2312" w:hAnsi="仿宋_GB2312" w:cs="仿宋_GB2312" w:eastAsia="仿宋_GB2312"/>
              </w:rPr>
              <w:t>根据针对本项目提供的安全作业方案进行综合评审。1、方案内容具体、详细，合理可行，完全符合并优于采购人安全作业的要求，得5分；2、方案内容有一定针对性，基本合理可行，基本符合采购人安全作业的要求，得3分；3、方案内容简单笼统，无针对性，得1分；4、未提供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文明施工措施计划</w:t>
            </w:r>
          </w:p>
        </w:tc>
        <w:tc>
          <w:tcPr>
            <w:tcW w:type="dxa" w:w="2492"/>
          </w:tcPr>
          <w:p>
            <w:pPr>
              <w:pStyle w:val="null3"/>
            </w:pPr>
            <w:r>
              <w:rPr>
                <w:rFonts w:ascii="仿宋_GB2312" w:hAnsi="仿宋_GB2312" w:cs="仿宋_GB2312" w:eastAsia="仿宋_GB2312"/>
              </w:rPr>
              <w:t>根据针对本项目提供的文明施工措施计划进行综合评审。1、措施计划详尽、合理且切实可行，完全满足采购人需求，得5分；2、措施计划较全面、合理、基本可行，基本满足采购人需求，得3分；3、措施计划简单笼统，无针对性，得1分；4、未提供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进度计划和工期目标</w:t>
            </w:r>
          </w:p>
        </w:tc>
        <w:tc>
          <w:tcPr>
            <w:tcW w:type="dxa" w:w="2492"/>
          </w:tcPr>
          <w:p>
            <w:pPr>
              <w:pStyle w:val="null3"/>
            </w:pPr>
            <w:r>
              <w:rPr>
                <w:rFonts w:ascii="仿宋_GB2312" w:hAnsi="仿宋_GB2312" w:cs="仿宋_GB2312" w:eastAsia="仿宋_GB2312"/>
              </w:rPr>
              <w:t>针对本项目提供的项目进度计划和工期目标情况进行综合评审。1、进度计划安排合理、措施有效，工期目标明确，满足采购人要求，得5分；2、进度计划安排较合理、措施较有效，工期目标基本清晰，基本满足采购人要求，得3分；3、进度计划和工期目标内容简单笼统，无针对性，得1分；4、未提供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治污减霾、防尘污染技术措施</w:t>
            </w:r>
          </w:p>
        </w:tc>
        <w:tc>
          <w:tcPr>
            <w:tcW w:type="dxa" w:w="2492"/>
          </w:tcPr>
          <w:p>
            <w:pPr>
              <w:pStyle w:val="null3"/>
            </w:pPr>
            <w:r>
              <w:rPr>
                <w:rFonts w:ascii="仿宋_GB2312" w:hAnsi="仿宋_GB2312" w:cs="仿宋_GB2312" w:eastAsia="仿宋_GB2312"/>
              </w:rPr>
              <w:t>根据针对本项目提供的治污减霾、防尘污染技术措施进行综合评审。 1、技术措施内容完善、科学合理可行性强，满足采购人需求，得5分； 2、技术措施内容较完善、有一定合理可行性，基本满足采购人需求，得3分；3、技术措施简单笼统，无针对性，得1分；4、未提供得0分。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质量保证体系及措施</w:t>
            </w:r>
          </w:p>
        </w:tc>
        <w:tc>
          <w:tcPr>
            <w:tcW w:type="dxa" w:w="2492"/>
          </w:tcPr>
          <w:p>
            <w:pPr>
              <w:pStyle w:val="null3"/>
            </w:pPr>
            <w:r>
              <w:rPr>
                <w:rFonts w:ascii="仿宋_GB2312" w:hAnsi="仿宋_GB2312" w:cs="仿宋_GB2312" w:eastAsia="仿宋_GB2312"/>
              </w:rPr>
              <w:t>根据针对本项目提供的质量保证体系及措施进行综合评审。 1、质量保证体系健全，措施科学合理可行性强，满足采购人需求，得5分； 2、质量保证体系内容较完善，措施有一定合理可行性，基本满足采购人需求，得3分； 3、质量保证体系及措施简单笼统，无针对性，得1分；4、未提供得0分。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施工机械配备和材料投入计划</w:t>
            </w:r>
          </w:p>
        </w:tc>
        <w:tc>
          <w:tcPr>
            <w:tcW w:type="dxa" w:w="2492"/>
          </w:tcPr>
          <w:p>
            <w:pPr>
              <w:pStyle w:val="null3"/>
            </w:pPr>
            <w:r>
              <w:rPr>
                <w:rFonts w:ascii="仿宋_GB2312" w:hAnsi="仿宋_GB2312" w:cs="仿宋_GB2312" w:eastAsia="仿宋_GB2312"/>
              </w:rPr>
              <w:t>根据针对本项目提供的施工机械配备和材料投入计划情况进行综合评审。1、机具设备和材料投入数量充足，与项目匹配度高，完全满足项目需要，得5分；2、机具设备和材料投入数量基本满足项目需要，与项目基本匹配，得3分；3、机具设备配置简单，无针对性，无法确保满足项目需要，得1分；4、未提供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项目经理</w:t>
            </w:r>
          </w:p>
        </w:tc>
        <w:tc>
          <w:tcPr>
            <w:tcW w:type="dxa" w:w="2492"/>
          </w:tcPr>
          <w:p>
            <w:pPr>
              <w:pStyle w:val="null3"/>
            </w:pPr>
            <w:r>
              <w:rPr>
                <w:rFonts w:ascii="仿宋_GB2312" w:hAnsi="仿宋_GB2312" w:cs="仿宋_GB2312" w:eastAsia="仿宋_GB2312"/>
              </w:rPr>
              <w:t>1、职称：具备工程类高级及以上技术职称的，得1分，其他不得分。备注：提供相关证书复印件/扫描件（或电子件），未提供不得分。2、业绩：供应商具有2023年4月1日至今（以合同签订时间为准）的同类项目业绩，每提供一份有效业绩得1分，最高得3分。备注：（1）业绩证明材料以同时提供的合同复印件/扫描件和验收单复印件/扫描件为准。（2）合同主体须为供应商本企业，且合同中必须体现项目经理相关信息。（3）未提供或不符合要求不得分。弄虚作假者取消其成交资格。（4）本项项目经理业绩与企业业绩不重复计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人员配置情况</w:t>
            </w:r>
          </w:p>
        </w:tc>
        <w:tc>
          <w:tcPr>
            <w:tcW w:type="dxa" w:w="2492"/>
          </w:tcPr>
          <w:p>
            <w:pPr>
              <w:pStyle w:val="null3"/>
            </w:pPr>
            <w:r>
              <w:rPr>
                <w:rFonts w:ascii="仿宋_GB2312" w:hAnsi="仿宋_GB2312" w:cs="仿宋_GB2312" w:eastAsia="仿宋_GB2312"/>
              </w:rPr>
              <w:t>根据针对本项目提供的人员配置情况（包括但不限于：①项目管理机构机构设置。提供团员组成人员名单（包括但不限于项目经理、技术负责人、施工员、安全员、质量员、资料员）及人员岗位职责；②项目经理及团队人员中具有与本项目相关的专业人员证书（包括但不限于学历证、职称证、资格证等））进行综合评审。1、人员配置合理，专业性强，完全满足项目需要，能够确保项目顺利开展，得5分；2、人员配置较合理，专业性较强，基本能够确保项目顺利开展，得3分；3、人员配置简单，专业性、针对性欠缺，得1分；4、未提供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风险预防及应急预案</w:t>
            </w:r>
          </w:p>
        </w:tc>
        <w:tc>
          <w:tcPr>
            <w:tcW w:type="dxa" w:w="2492"/>
          </w:tcPr>
          <w:p>
            <w:pPr>
              <w:pStyle w:val="null3"/>
            </w:pPr>
            <w:r>
              <w:rPr>
                <w:rFonts w:ascii="仿宋_GB2312" w:hAnsi="仿宋_GB2312" w:cs="仿宋_GB2312" w:eastAsia="仿宋_GB2312"/>
              </w:rPr>
              <w:t>根据针对本项目提供的风险预防及应急预案（包括但不限于：①应急保障及应急处理团队及设备设施；②赶工应急处理方案；③突发事件及紧急情况（包括火灾、事故、发生暴雨等灾害性天气及停水、停电突发事件等）进行综合评审。1、风险预测与防范内容完善，针对性强，预案及措施科学合理可行性强，得5分； 2、风险预测与防范内容较完善，预案及措施有一定针对性和可行性强，得3分；3、风险预测与防范内容、预案及措施内容简单笼统，无针对性，得1分；4、未提供得0分。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根据针对本项目提供的售后服务方案进行综合评审。售后服务方案，包括但不限于①售后服务内容、售后服务响应方式及时间；②售后服务保障措施。方案各部分内容全面详细、阐述条理清晰详尽、符合本项目采购需求，能够确保项目顺利实施；以上每单项满分为2分，如单项缺项，该单项不得分；每有一处有缺陷扣0.5分，单项分数扣完为止。说明：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供应商业绩</w:t>
            </w:r>
          </w:p>
        </w:tc>
        <w:tc>
          <w:tcPr>
            <w:tcW w:type="dxa" w:w="2492"/>
          </w:tcPr>
          <w:p>
            <w:pPr>
              <w:pStyle w:val="null3"/>
            </w:pPr>
            <w:r>
              <w:rPr>
                <w:rFonts w:ascii="仿宋_GB2312" w:hAnsi="仿宋_GB2312" w:cs="仿宋_GB2312" w:eastAsia="仿宋_GB2312"/>
              </w:rPr>
              <w:t>供应商具有2023年4月1日至今（以合同签订时间为准）的同类项目业绩，每提供一份有效业绩得1分，最高得5分。备注：（1）业绩证明材料以同时提供的合同复印件/扫描件和验收单复印件/扫描件为准。（2）合同主体须为供应商本企业。（3）未提供或不符合要求不得分。弄虚作假者取消其成交资格。（4）本项企业业绩与项目经理业绩不重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实施方案.docx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响应文件，其磋商最终报价为有效磋商报价。2、有效最低报价为磋商基准价。3、磋商报价按（磋商基准价/有效磋商报价）×30的公式计算其得分。4、磋商报价不完整的，不进入磋商基准价的计算，本项得0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报价一览表（首次报价表）（必填）.docx</w:t>
            </w:r>
          </w:p>
          <w:p>
            <w:pPr>
              <w:pStyle w:val="null3"/>
            </w:pPr>
            <w:r>
              <w:rPr>
                <w:rFonts w:ascii="仿宋_GB2312" w:hAnsi="仿宋_GB2312" w:cs="仿宋_GB2312" w:eastAsia="仿宋_GB2312"/>
              </w:rPr>
              <w:t>响应分项报价表（首次）（必填）.docx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详见附件：报价一览表（首次报价表）（必填）.docx</w:t>
      </w:r>
    </w:p>
    <w:p>
      <w:pPr>
        <w:pStyle w:val="null3"/>
        <w:ind w:firstLine="960"/>
      </w:pPr>
      <w:r>
        <w:rPr>
          <w:rFonts w:ascii="仿宋_GB2312" w:hAnsi="仿宋_GB2312" w:cs="仿宋_GB2312" w:eastAsia="仿宋_GB2312"/>
        </w:rPr>
        <w:t>详见附件：报价一览表（二次报价表）.docx</w:t>
      </w:r>
    </w:p>
    <w:p>
      <w:pPr>
        <w:pStyle w:val="null3"/>
        <w:ind w:firstLine="960"/>
      </w:pPr>
      <w:r>
        <w:rPr>
          <w:rFonts w:ascii="仿宋_GB2312" w:hAnsi="仿宋_GB2312" w:cs="仿宋_GB2312" w:eastAsia="仿宋_GB2312"/>
        </w:rPr>
        <w:t>详见附件：工程量清单编制说明.docx</w:t>
      </w:r>
    </w:p>
    <w:p>
      <w:pPr>
        <w:pStyle w:val="null3"/>
        <w:ind w:firstLine="960"/>
      </w:pPr>
      <w:r>
        <w:rPr>
          <w:rFonts w:ascii="仿宋_GB2312" w:hAnsi="仿宋_GB2312" w:cs="仿宋_GB2312" w:eastAsia="仿宋_GB2312"/>
        </w:rPr>
        <w:t>详见附件：合同条款偏离表.docx</w:t>
      </w:r>
    </w:p>
    <w:p>
      <w:pPr>
        <w:pStyle w:val="null3"/>
        <w:ind w:firstLine="960"/>
      </w:pPr>
      <w:r>
        <w:rPr>
          <w:rFonts w:ascii="仿宋_GB2312" w:hAnsi="仿宋_GB2312" w:cs="仿宋_GB2312" w:eastAsia="仿宋_GB2312"/>
        </w:rPr>
        <w:t>详见附件：商务应答表.docx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详见附件：响应分项报价表（首次）（必填）.docx</w:t>
      </w:r>
    </w:p>
    <w:p>
      <w:pPr>
        <w:pStyle w:val="null3"/>
        <w:ind w:firstLine="960"/>
      </w:pPr>
      <w:r>
        <w:rPr>
          <w:rFonts w:ascii="仿宋_GB2312" w:hAnsi="仿宋_GB2312" w:cs="仿宋_GB2312" w:eastAsia="仿宋_GB2312"/>
        </w:rPr>
        <w:t>详见附件：实施方案.docx</w:t>
      </w:r>
    </w:p>
    <w:p>
      <w:pPr>
        <w:pStyle w:val="null3"/>
        <w:ind w:firstLine="960"/>
      </w:pPr>
      <w:r>
        <w:rPr>
          <w:rFonts w:ascii="仿宋_GB2312" w:hAnsi="仿宋_GB2312" w:cs="仿宋_GB2312" w:eastAsia="仿宋_GB2312"/>
        </w:rPr>
        <w:t>详见附件：其他资料.docx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