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版本号：ZCSP-临渭区-2026-0020520260821001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临渭区2026年中央财政林业草原生态保护恢复资金古树名木保护项目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ZCSP-临渭区-2026-00205</w:t>
      </w:r>
      <w:r>
        <w:br/>
      </w:r>
      <w:r>
        <w:br/>
      </w:r>
      <w:r>
        <w:br/>
      </w:r>
    </w:p>
    <w:p>
      <w:pPr>
        <w:pStyle w:val="null3"/>
        <w:jc w:val="center"/>
        <w:outlineLvl w:val="2"/>
      </w:pPr>
      <w:r>
        <w:rPr>
          <w:rFonts w:ascii="仿宋_GB2312" w:hAnsi="仿宋_GB2312" w:cs="仿宋_GB2312" w:eastAsia="仿宋_GB2312"/>
          <w:sz w:val="28"/>
          <w:b/>
        </w:rPr>
        <w:t>渭南市临渭区林业局</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渭南市临渭区林业局</w:t>
      </w:r>
      <w:r>
        <w:rPr>
          <w:rFonts w:ascii="仿宋_GB2312" w:hAnsi="仿宋_GB2312" w:cs="仿宋_GB2312" w:eastAsia="仿宋_GB2312"/>
        </w:rPr>
        <w:t>委托，拟对</w:t>
      </w:r>
      <w:r>
        <w:rPr>
          <w:rFonts w:ascii="仿宋_GB2312" w:hAnsi="仿宋_GB2312" w:cs="仿宋_GB2312" w:eastAsia="仿宋_GB2312"/>
        </w:rPr>
        <w:t>临渭区2026年中央财政林业草原生态保护恢复资金古树名木保护项目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ZCSP-临渭区-2026-00205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临渭区2026年中央财政林业草原生态保护恢复资金古树名木保护项目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通过专业的技术措施保护复壮，改善古树生存环境，提高古树抵御自然风险的能力，促进古树健康生长，延长古树寿命，有效保护临渭区宝贵的古树自然资源。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采购包1（临渭区2026年中央财政林业草原生态保护恢复资金古树名木保护项目）：属于专门面向中小企业采购。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1、法定代表人身份证明书/法定代表人授权委托书：法定代表人参与磋商时需提供法定代表人身份证明书；被授权人参与磋商时需提供法定代表人身份证明书及法定代表人授权委托书；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2、磋商保证金交纳凭证：磋商保证金交纳凭证；</w:t>
      </w:r>
    </w:p>
    <w:p>
      <w:pPr>
        <w:pStyle w:val="null3"/>
      </w:pPr>
      <w:r>
        <w:rPr>
          <w:rFonts w:ascii="仿宋_GB2312" w:hAnsi="仿宋_GB2312" w:cs="仿宋_GB2312" w:eastAsia="仿宋_GB2312"/>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4、项目负责人：拟派项目负责人须具备林业或园林相关专业工程师以上（含工程师）资格；</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东风大街东段临渭区行政服务中心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渭南市临渭区林业局经办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0913-3039585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薛蒙蒙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的55%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渭南市临渭区林业局</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联系人：薛蒙蒙</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地址：渭南市临渭区解放路与五马路十字东侧20米路南</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通过专业的技术措施保护复壮，改善古树生存环境，提高古树抵御自然风险的能力，促进古树健康生长，延长古树寿命，有效保护临渭区宝贵的古树自然资源。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临渭区2026年中央财政林业草原生态保护恢复资金古树名木保护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标的名称：临渭区2026年中央财政林业草原生态保护恢复资金古树名木保护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left"/>
            </w:pPr>
            <w:r>
              <w:rPr>
                <w:rFonts w:ascii="仿宋_GB2312" w:hAnsi="仿宋_GB2312" w:cs="仿宋_GB2312" w:eastAsia="仿宋_GB2312"/>
              </w:rPr>
              <w:t>1.土壤改良：根据土壤诊断情况制定改良方案，保护根系，改良区域应在多 数吸收根系分布范围内，确保土壤因子之间达到适宜、协调、平衡 、增效的作用。</w:t>
            </w:r>
          </w:p>
          <w:p>
            <w:pPr>
              <w:pStyle w:val="null3"/>
            </w:pPr>
            <w:r>
              <w:rPr>
                <w:rFonts w:ascii="仿宋_GB2312" w:hAnsi="仿宋_GB2312" w:cs="仿宋_GB2312" w:eastAsia="仿宋_GB2312"/>
              </w:rPr>
              <w:t>2.树体损伤处理：包括活组织和死组织处理，及时处理损伤的枝干，达到伤口愈合、功能恢复，预防腐烂、提高景观效果。</w:t>
            </w:r>
          </w:p>
          <w:p>
            <w:pPr>
              <w:pStyle w:val="null3"/>
            </w:pPr>
            <w:r>
              <w:rPr>
                <w:rFonts w:ascii="仿宋_GB2312" w:hAnsi="仿宋_GB2312" w:cs="仿宋_GB2312" w:eastAsia="仿宋_GB2312"/>
              </w:rPr>
              <w:t>3.树体加固：根据主干和主枝的情况制定加固方案，确保加固措施稳固、安全。</w:t>
            </w:r>
          </w:p>
          <w:p>
            <w:pPr>
              <w:pStyle w:val="null3"/>
            </w:pPr>
            <w:r>
              <w:rPr>
                <w:rFonts w:ascii="仿宋_GB2312" w:hAnsi="仿宋_GB2312" w:cs="仿宋_GB2312" w:eastAsia="仿宋_GB2312"/>
              </w:rPr>
              <w:t>4.安全与监管：确保施工过程中的人、树安全，并使冠型与周围环境相协调。对施工后的古树进行定期检查和维护，及时发现并处理问题。</w:t>
            </w:r>
          </w:p>
          <w:p>
            <w:pPr>
              <w:pStyle w:val="null3"/>
            </w:pPr>
            <w:r>
              <w:rPr>
                <w:rFonts w:ascii="仿宋_GB2312" w:hAnsi="仿宋_GB2312" w:cs="仿宋_GB2312" w:eastAsia="仿宋_GB2312"/>
              </w:rPr>
              <w:t>5.记录与评估：详细记录施工过程和后期监测数据，评估复壮效果，必要时调整养 护和复壮措施。</w:t>
            </w:r>
          </w:p>
          <w:p>
            <w:pPr>
              <w:pStyle w:val="null3"/>
            </w:pPr>
            <w:r>
              <w:rPr>
                <w:rFonts w:ascii="仿宋_GB2312" w:hAnsi="仿宋_GB2312" w:cs="仿宋_GB2312" w:eastAsia="仿宋_GB2312"/>
              </w:rPr>
              <w:t>6、临渭区2026年中央财政林业草原生态保护恢复资金古树名木保护项目工程量清单</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项目名称</w:t>
                  </w:r>
                </w:p>
              </w:tc>
              <w:tc>
                <w:tcPr>
                  <w:tcW w:type="dxa" w:w="638"/>
                </w:tcPr>
                <w:p>
                  <w:pPr>
                    <w:pStyle w:val="null3"/>
                  </w:pPr>
                  <w:r>
                    <w:rPr>
                      <w:rFonts w:ascii="仿宋_GB2312" w:hAnsi="仿宋_GB2312" w:cs="仿宋_GB2312" w:eastAsia="仿宋_GB2312"/>
                    </w:rPr>
                    <w:t>合计数量</w:t>
                  </w:r>
                </w:p>
              </w:tc>
              <w:tc>
                <w:tcPr>
                  <w:tcW w:type="dxa" w:w="638"/>
                </w:tcPr>
                <w:p>
                  <w:pPr>
                    <w:pStyle w:val="null3"/>
                  </w:pPr>
                  <w:r>
                    <w:rPr>
                      <w:rFonts w:ascii="仿宋_GB2312" w:hAnsi="仿宋_GB2312" w:cs="仿宋_GB2312" w:eastAsia="仿宋_GB2312"/>
                    </w:rPr>
                    <w:t>单位</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伴生植物清理</w:t>
                  </w:r>
                </w:p>
              </w:tc>
              <w:tc>
                <w:tcPr>
                  <w:tcW w:type="dxa" w:w="638"/>
                </w:tcPr>
                <w:p>
                  <w:pPr>
                    <w:pStyle w:val="null3"/>
                  </w:pPr>
                  <w:r>
                    <w:rPr>
                      <w:rFonts w:ascii="仿宋_GB2312" w:hAnsi="仿宋_GB2312" w:cs="仿宋_GB2312" w:eastAsia="仿宋_GB2312"/>
                    </w:rPr>
                    <w:t>73</w:t>
                  </w:r>
                </w:p>
              </w:tc>
              <w:tc>
                <w:tcPr>
                  <w:tcW w:type="dxa" w:w="638"/>
                </w:tcPr>
                <w:p>
                  <w:pPr>
                    <w:pStyle w:val="null3"/>
                  </w:pPr>
                  <w:r>
                    <w:rPr>
                      <w:rFonts w:ascii="仿宋_GB2312" w:hAnsi="仿宋_GB2312" w:cs="仿宋_GB2312" w:eastAsia="仿宋_GB2312"/>
                    </w:rPr>
                    <w:t>m²</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地面杂物清理</w:t>
                  </w:r>
                </w:p>
              </w:tc>
              <w:tc>
                <w:tcPr>
                  <w:tcW w:type="dxa" w:w="638"/>
                </w:tcPr>
                <w:p>
                  <w:pPr>
                    <w:pStyle w:val="null3"/>
                  </w:pPr>
                  <w:r>
                    <w:rPr>
                      <w:rFonts w:ascii="仿宋_GB2312" w:hAnsi="仿宋_GB2312" w:cs="仿宋_GB2312" w:eastAsia="仿宋_GB2312"/>
                    </w:rPr>
                    <w:t>53</w:t>
                  </w:r>
                </w:p>
              </w:tc>
              <w:tc>
                <w:tcPr>
                  <w:tcW w:type="dxa" w:w="638"/>
                </w:tcPr>
                <w:p>
                  <w:pPr>
                    <w:pStyle w:val="null3"/>
                  </w:pPr>
                  <w:r>
                    <w:rPr>
                      <w:rFonts w:ascii="仿宋_GB2312" w:hAnsi="仿宋_GB2312" w:cs="仿宋_GB2312" w:eastAsia="仿宋_GB2312"/>
                    </w:rPr>
                    <w:t>m²</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覆土开挖及平整</w:t>
                  </w:r>
                </w:p>
              </w:tc>
              <w:tc>
                <w:tcPr>
                  <w:tcW w:type="dxa" w:w="638"/>
                </w:tcPr>
                <w:p>
                  <w:pPr>
                    <w:pStyle w:val="null3"/>
                  </w:pPr>
                  <w:r>
                    <w:rPr>
                      <w:rFonts w:ascii="仿宋_GB2312" w:hAnsi="仿宋_GB2312" w:cs="仿宋_GB2312" w:eastAsia="仿宋_GB2312"/>
                    </w:rPr>
                    <w:t>69</w:t>
                  </w:r>
                </w:p>
              </w:tc>
              <w:tc>
                <w:tcPr>
                  <w:tcW w:type="dxa" w:w="638"/>
                </w:tcPr>
                <w:p>
                  <w:pPr>
                    <w:pStyle w:val="null3"/>
                  </w:pPr>
                  <w:r>
                    <w:rPr>
                      <w:rFonts w:ascii="仿宋_GB2312" w:hAnsi="仿宋_GB2312" w:cs="仿宋_GB2312" w:eastAsia="仿宋_GB2312"/>
                    </w:rPr>
                    <w:t>m²</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病虫害防治</w:t>
                  </w:r>
                </w:p>
              </w:tc>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次</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树干涂白</w:t>
                  </w:r>
                </w:p>
              </w:tc>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次</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原有拉杆拆除</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项</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拉纤</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项</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埋设回型透气装置</w:t>
                  </w:r>
                </w:p>
              </w:tc>
              <w:tc>
                <w:tcPr>
                  <w:tcW w:type="dxa" w:w="638"/>
                </w:tcPr>
                <w:p>
                  <w:pPr>
                    <w:pStyle w:val="null3"/>
                  </w:pPr>
                  <w:r>
                    <w:rPr>
                      <w:rFonts w:ascii="仿宋_GB2312" w:hAnsi="仿宋_GB2312" w:cs="仿宋_GB2312" w:eastAsia="仿宋_GB2312"/>
                    </w:rPr>
                    <w:t>18</w:t>
                  </w:r>
                </w:p>
              </w:tc>
              <w:tc>
                <w:tcPr>
                  <w:tcW w:type="dxa" w:w="638"/>
                </w:tcPr>
                <w:p>
                  <w:pPr>
                    <w:pStyle w:val="null3"/>
                  </w:pPr>
                  <w:r>
                    <w:rPr>
                      <w:rFonts w:ascii="仿宋_GB2312" w:hAnsi="仿宋_GB2312" w:cs="仿宋_GB2312" w:eastAsia="仿宋_GB2312"/>
                    </w:rPr>
                    <w:t>m</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埋设透气装置</w:t>
                  </w:r>
                </w:p>
              </w:tc>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套</w:t>
                  </w:r>
                </w:p>
              </w:tc>
            </w:tr>
            <w:tr>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仿真支撑（160mm镀锌钢管）</w:t>
                  </w:r>
                </w:p>
              </w:tc>
              <w:tc>
                <w:tcPr>
                  <w:tcW w:type="dxa" w:w="638"/>
                </w:tcPr>
                <w:p>
                  <w:pPr>
                    <w:pStyle w:val="null3"/>
                  </w:pPr>
                  <w:r>
                    <w:rPr>
                      <w:rFonts w:ascii="仿宋_GB2312" w:hAnsi="仿宋_GB2312" w:cs="仿宋_GB2312" w:eastAsia="仿宋_GB2312"/>
                    </w:rPr>
                    <w:t>31.5</w:t>
                  </w:r>
                </w:p>
              </w:tc>
              <w:tc>
                <w:tcPr>
                  <w:tcW w:type="dxa" w:w="638"/>
                </w:tcPr>
                <w:p>
                  <w:pPr>
                    <w:pStyle w:val="null3"/>
                  </w:pPr>
                  <w:r>
                    <w:rPr>
                      <w:rFonts w:ascii="仿宋_GB2312" w:hAnsi="仿宋_GB2312" w:cs="仿宋_GB2312" w:eastAsia="仿宋_GB2312"/>
                    </w:rPr>
                    <w:t>m</w:t>
                  </w:r>
                </w:p>
              </w:tc>
            </w:tr>
            <w:tr>
              <w:tc>
                <w:tcPr>
                  <w:tcW w:type="dxa" w:w="638"/>
                </w:tcPr>
                <w:p>
                  <w:pPr>
                    <w:pStyle w:val="null3"/>
                  </w:pPr>
                  <w:r>
                    <w:rPr>
                      <w:rFonts w:ascii="仿宋_GB2312" w:hAnsi="仿宋_GB2312" w:cs="仿宋_GB2312" w:eastAsia="仿宋_GB2312"/>
                    </w:rPr>
                    <w:t>11</w:t>
                  </w:r>
                </w:p>
              </w:tc>
              <w:tc>
                <w:tcPr>
                  <w:tcW w:type="dxa" w:w="638"/>
                </w:tcPr>
                <w:p>
                  <w:pPr>
                    <w:pStyle w:val="null3"/>
                  </w:pPr>
                  <w:r>
                    <w:rPr>
                      <w:rFonts w:ascii="仿宋_GB2312" w:hAnsi="仿宋_GB2312" w:cs="仿宋_GB2312" w:eastAsia="仿宋_GB2312"/>
                    </w:rPr>
                    <w:t>树洞修补（小）</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处</w:t>
                  </w:r>
                </w:p>
              </w:tc>
            </w:tr>
            <w:tr>
              <w:tc>
                <w:tcPr>
                  <w:tcW w:type="dxa" w:w="638"/>
                </w:tcPr>
                <w:p>
                  <w:pPr>
                    <w:pStyle w:val="null3"/>
                  </w:pPr>
                  <w:r>
                    <w:rPr>
                      <w:rFonts w:ascii="仿宋_GB2312" w:hAnsi="仿宋_GB2312" w:cs="仿宋_GB2312" w:eastAsia="仿宋_GB2312"/>
                    </w:rPr>
                    <w:t>12</w:t>
                  </w:r>
                </w:p>
              </w:tc>
              <w:tc>
                <w:tcPr>
                  <w:tcW w:type="dxa" w:w="638"/>
                </w:tcPr>
                <w:p>
                  <w:pPr>
                    <w:pStyle w:val="null3"/>
                  </w:pPr>
                  <w:r>
                    <w:rPr>
                      <w:rFonts w:ascii="仿宋_GB2312" w:hAnsi="仿宋_GB2312" w:cs="仿宋_GB2312" w:eastAsia="仿宋_GB2312"/>
                    </w:rPr>
                    <w:t>树洞修补骨架</w:t>
                  </w:r>
                </w:p>
              </w:tc>
              <w:tc>
                <w:tcPr>
                  <w:tcW w:type="dxa" w:w="638"/>
                </w:tcPr>
                <w:p>
                  <w:pPr>
                    <w:pStyle w:val="null3"/>
                  </w:pPr>
                  <w:r>
                    <w:rPr>
                      <w:rFonts w:ascii="仿宋_GB2312" w:hAnsi="仿宋_GB2312" w:cs="仿宋_GB2312" w:eastAsia="仿宋_GB2312"/>
                    </w:rPr>
                    <w:t>14</w:t>
                  </w:r>
                </w:p>
              </w:tc>
              <w:tc>
                <w:tcPr>
                  <w:tcW w:type="dxa" w:w="638"/>
                </w:tcPr>
                <w:p>
                  <w:pPr>
                    <w:pStyle w:val="null3"/>
                  </w:pPr>
                  <w:r>
                    <w:rPr>
                      <w:rFonts w:ascii="仿宋_GB2312" w:hAnsi="仿宋_GB2312" w:cs="仿宋_GB2312" w:eastAsia="仿宋_GB2312"/>
                    </w:rPr>
                    <w:t>m²</w:t>
                  </w:r>
                </w:p>
              </w:tc>
            </w:tr>
            <w:tr>
              <w:tc>
                <w:tcPr>
                  <w:tcW w:type="dxa" w:w="638"/>
                </w:tcPr>
                <w:p>
                  <w:pPr>
                    <w:pStyle w:val="null3"/>
                  </w:pPr>
                  <w:r>
                    <w:rPr>
                      <w:rFonts w:ascii="仿宋_GB2312" w:hAnsi="仿宋_GB2312" w:cs="仿宋_GB2312" w:eastAsia="仿宋_GB2312"/>
                    </w:rPr>
                    <w:t>13</w:t>
                  </w:r>
                </w:p>
              </w:tc>
              <w:tc>
                <w:tcPr>
                  <w:tcW w:type="dxa" w:w="638"/>
                </w:tcPr>
                <w:p>
                  <w:pPr>
                    <w:pStyle w:val="null3"/>
                  </w:pPr>
                  <w:r>
                    <w:rPr>
                      <w:rFonts w:ascii="仿宋_GB2312" w:hAnsi="仿宋_GB2312" w:cs="仿宋_GB2312" w:eastAsia="仿宋_GB2312"/>
                    </w:rPr>
                    <w:t>树洞封堵</w:t>
                  </w:r>
                </w:p>
              </w:tc>
              <w:tc>
                <w:tcPr>
                  <w:tcW w:type="dxa" w:w="638"/>
                </w:tcPr>
                <w:p>
                  <w:pPr>
                    <w:pStyle w:val="null3"/>
                  </w:pPr>
                  <w:r>
                    <w:rPr>
                      <w:rFonts w:ascii="仿宋_GB2312" w:hAnsi="仿宋_GB2312" w:cs="仿宋_GB2312" w:eastAsia="仿宋_GB2312"/>
                    </w:rPr>
                    <w:t>14</w:t>
                  </w:r>
                </w:p>
              </w:tc>
              <w:tc>
                <w:tcPr>
                  <w:tcW w:type="dxa" w:w="638"/>
                </w:tcPr>
                <w:p>
                  <w:pPr>
                    <w:pStyle w:val="null3"/>
                  </w:pPr>
                  <w:r>
                    <w:rPr>
                      <w:rFonts w:ascii="仿宋_GB2312" w:hAnsi="仿宋_GB2312" w:cs="仿宋_GB2312" w:eastAsia="仿宋_GB2312"/>
                    </w:rPr>
                    <w:t>m²</w:t>
                  </w:r>
                </w:p>
              </w:tc>
            </w:tr>
            <w:tr>
              <w:tc>
                <w:tcPr>
                  <w:tcW w:type="dxa" w:w="638"/>
                </w:tcPr>
                <w:p>
                  <w:pPr>
                    <w:pStyle w:val="null3"/>
                  </w:pPr>
                  <w:r>
                    <w:rPr>
                      <w:rFonts w:ascii="仿宋_GB2312" w:hAnsi="仿宋_GB2312" w:cs="仿宋_GB2312" w:eastAsia="仿宋_GB2312"/>
                    </w:rPr>
                    <w:t>14</w:t>
                  </w:r>
                </w:p>
              </w:tc>
              <w:tc>
                <w:tcPr>
                  <w:tcW w:type="dxa" w:w="638"/>
                </w:tcPr>
                <w:p>
                  <w:pPr>
                    <w:pStyle w:val="null3"/>
                  </w:pPr>
                  <w:r>
                    <w:rPr>
                      <w:rFonts w:ascii="仿宋_GB2312" w:hAnsi="仿宋_GB2312" w:cs="仿宋_GB2312" w:eastAsia="仿宋_GB2312"/>
                    </w:rPr>
                    <w:t>树洞表面装饰</w:t>
                  </w:r>
                </w:p>
              </w:tc>
              <w:tc>
                <w:tcPr>
                  <w:tcW w:type="dxa" w:w="638"/>
                </w:tcPr>
                <w:p>
                  <w:pPr>
                    <w:pStyle w:val="null3"/>
                  </w:pPr>
                  <w:r>
                    <w:rPr>
                      <w:rFonts w:ascii="仿宋_GB2312" w:hAnsi="仿宋_GB2312" w:cs="仿宋_GB2312" w:eastAsia="仿宋_GB2312"/>
                    </w:rPr>
                    <w:t>14</w:t>
                  </w:r>
                </w:p>
              </w:tc>
              <w:tc>
                <w:tcPr>
                  <w:tcW w:type="dxa" w:w="638"/>
                </w:tcPr>
                <w:p>
                  <w:pPr>
                    <w:pStyle w:val="null3"/>
                  </w:pPr>
                  <w:r>
                    <w:rPr>
                      <w:rFonts w:ascii="仿宋_GB2312" w:hAnsi="仿宋_GB2312" w:cs="仿宋_GB2312" w:eastAsia="仿宋_GB2312"/>
                    </w:rPr>
                    <w:t>m²</w:t>
                  </w:r>
                </w:p>
              </w:tc>
            </w:tr>
            <w:tr>
              <w:tc>
                <w:tcPr>
                  <w:tcW w:type="dxa" w:w="638"/>
                </w:tcPr>
                <w:p>
                  <w:pPr>
                    <w:pStyle w:val="null3"/>
                  </w:pPr>
                  <w:r>
                    <w:rPr>
                      <w:rFonts w:ascii="仿宋_GB2312" w:hAnsi="仿宋_GB2312" w:cs="仿宋_GB2312" w:eastAsia="仿宋_GB2312"/>
                    </w:rPr>
                    <w:t>15</w:t>
                  </w:r>
                </w:p>
              </w:tc>
              <w:tc>
                <w:tcPr>
                  <w:tcW w:type="dxa" w:w="638"/>
                </w:tcPr>
                <w:p>
                  <w:pPr>
                    <w:pStyle w:val="null3"/>
                  </w:pPr>
                  <w:r>
                    <w:rPr>
                      <w:rFonts w:ascii="仿宋_GB2312" w:hAnsi="仿宋_GB2312" w:cs="仿宋_GB2312" w:eastAsia="仿宋_GB2312"/>
                    </w:rPr>
                    <w:t>宣传牌制作及安装</w:t>
                  </w:r>
                </w:p>
              </w:tc>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块</w:t>
                  </w:r>
                </w:p>
              </w:tc>
            </w:tr>
            <w:tr>
              <w:tc>
                <w:tcPr>
                  <w:tcW w:type="dxa" w:w="638"/>
                </w:tcPr>
                <w:p>
                  <w:pPr>
                    <w:pStyle w:val="null3"/>
                  </w:pPr>
                  <w:r>
                    <w:rPr>
                      <w:rFonts w:ascii="仿宋_GB2312" w:hAnsi="仿宋_GB2312" w:cs="仿宋_GB2312" w:eastAsia="仿宋_GB2312"/>
                    </w:rPr>
                    <w:t>16</w:t>
                  </w:r>
                </w:p>
              </w:tc>
              <w:tc>
                <w:tcPr>
                  <w:tcW w:type="dxa" w:w="638"/>
                </w:tcPr>
                <w:p>
                  <w:pPr>
                    <w:pStyle w:val="null3"/>
                  </w:pPr>
                  <w:r>
                    <w:rPr>
                      <w:rFonts w:ascii="仿宋_GB2312" w:hAnsi="仿宋_GB2312" w:cs="仿宋_GB2312" w:eastAsia="仿宋_GB2312"/>
                    </w:rPr>
                    <w:t>古树保护牌制作及安装</w:t>
                  </w:r>
                </w:p>
              </w:tc>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块</w:t>
                  </w:r>
                </w:p>
              </w:tc>
            </w:tr>
            <w:tr>
              <w:tc>
                <w:tcPr>
                  <w:tcW w:type="dxa" w:w="638"/>
                </w:tcPr>
                <w:p>
                  <w:pPr>
                    <w:pStyle w:val="null3"/>
                  </w:pPr>
                  <w:r>
                    <w:rPr>
                      <w:rFonts w:ascii="仿宋_GB2312" w:hAnsi="仿宋_GB2312" w:cs="仿宋_GB2312" w:eastAsia="仿宋_GB2312"/>
                    </w:rPr>
                    <w:t>17</w:t>
                  </w:r>
                </w:p>
              </w:tc>
              <w:tc>
                <w:tcPr>
                  <w:tcW w:type="dxa" w:w="638"/>
                </w:tcPr>
                <w:p>
                  <w:pPr>
                    <w:pStyle w:val="null3"/>
                  </w:pPr>
                  <w:r>
                    <w:rPr>
                      <w:rFonts w:ascii="仿宋_GB2312" w:hAnsi="仿宋_GB2312" w:cs="仿宋_GB2312" w:eastAsia="仿宋_GB2312"/>
                    </w:rPr>
                    <w:t>树身清腐</w:t>
                  </w:r>
                </w:p>
              </w:tc>
              <w:tc>
                <w:tcPr>
                  <w:tcW w:type="dxa" w:w="638"/>
                </w:tcPr>
                <w:p>
                  <w:pPr>
                    <w:pStyle w:val="null3"/>
                  </w:pPr>
                  <w:r>
                    <w:rPr>
                      <w:rFonts w:ascii="仿宋_GB2312" w:hAnsi="仿宋_GB2312" w:cs="仿宋_GB2312" w:eastAsia="仿宋_GB2312"/>
                    </w:rPr>
                    <w:t>37</w:t>
                  </w:r>
                </w:p>
              </w:tc>
              <w:tc>
                <w:tcPr>
                  <w:tcW w:type="dxa" w:w="638"/>
                </w:tcPr>
                <w:p>
                  <w:pPr>
                    <w:pStyle w:val="null3"/>
                  </w:pPr>
                  <w:r>
                    <w:rPr>
                      <w:rFonts w:ascii="仿宋_GB2312" w:hAnsi="仿宋_GB2312" w:cs="仿宋_GB2312" w:eastAsia="仿宋_GB2312"/>
                    </w:rPr>
                    <w:t>m²</w:t>
                  </w:r>
                </w:p>
              </w:tc>
            </w:tr>
            <w:tr>
              <w:tc>
                <w:tcPr>
                  <w:tcW w:type="dxa" w:w="638"/>
                </w:tcPr>
                <w:p>
                  <w:pPr>
                    <w:pStyle w:val="null3"/>
                  </w:pPr>
                  <w:r>
                    <w:rPr>
                      <w:rFonts w:ascii="仿宋_GB2312" w:hAnsi="仿宋_GB2312" w:cs="仿宋_GB2312" w:eastAsia="仿宋_GB2312"/>
                    </w:rPr>
                    <w:t>18</w:t>
                  </w:r>
                </w:p>
              </w:tc>
              <w:tc>
                <w:tcPr>
                  <w:tcW w:type="dxa" w:w="638"/>
                </w:tcPr>
                <w:p>
                  <w:pPr>
                    <w:pStyle w:val="null3"/>
                  </w:pPr>
                  <w:r>
                    <w:rPr>
                      <w:rFonts w:ascii="仿宋_GB2312" w:hAnsi="仿宋_GB2312" w:cs="仿宋_GB2312" w:eastAsia="仿宋_GB2312"/>
                    </w:rPr>
                    <w:t>树身防腐</w:t>
                  </w:r>
                </w:p>
              </w:tc>
              <w:tc>
                <w:tcPr>
                  <w:tcW w:type="dxa" w:w="638"/>
                </w:tcPr>
                <w:p>
                  <w:pPr>
                    <w:pStyle w:val="null3"/>
                  </w:pPr>
                  <w:r>
                    <w:rPr>
                      <w:rFonts w:ascii="仿宋_GB2312" w:hAnsi="仿宋_GB2312" w:cs="仿宋_GB2312" w:eastAsia="仿宋_GB2312"/>
                    </w:rPr>
                    <w:t>37</w:t>
                  </w:r>
                </w:p>
              </w:tc>
              <w:tc>
                <w:tcPr>
                  <w:tcW w:type="dxa" w:w="638"/>
                </w:tcPr>
                <w:p>
                  <w:pPr>
                    <w:pStyle w:val="null3"/>
                  </w:pPr>
                  <w:r>
                    <w:rPr>
                      <w:rFonts w:ascii="仿宋_GB2312" w:hAnsi="仿宋_GB2312" w:cs="仿宋_GB2312" w:eastAsia="仿宋_GB2312"/>
                    </w:rPr>
                    <w:t>m²</w:t>
                  </w:r>
                </w:p>
              </w:tc>
            </w:tr>
            <w:tr>
              <w:tc>
                <w:tcPr>
                  <w:tcW w:type="dxa" w:w="638"/>
                </w:tcPr>
                <w:p>
                  <w:pPr>
                    <w:pStyle w:val="null3"/>
                  </w:pPr>
                  <w:r>
                    <w:rPr>
                      <w:rFonts w:ascii="仿宋_GB2312" w:hAnsi="仿宋_GB2312" w:cs="仿宋_GB2312" w:eastAsia="仿宋_GB2312"/>
                    </w:rPr>
                    <w:t>19</w:t>
                  </w:r>
                </w:p>
              </w:tc>
              <w:tc>
                <w:tcPr>
                  <w:tcW w:type="dxa" w:w="638"/>
                </w:tcPr>
                <w:p>
                  <w:pPr>
                    <w:pStyle w:val="null3"/>
                  </w:pPr>
                  <w:r>
                    <w:rPr>
                      <w:rFonts w:ascii="仿宋_GB2312" w:hAnsi="仿宋_GB2312" w:cs="仿宋_GB2312" w:eastAsia="仿宋_GB2312"/>
                    </w:rPr>
                    <w:t>树身消杀</w:t>
                  </w:r>
                </w:p>
              </w:tc>
              <w:tc>
                <w:tcPr>
                  <w:tcW w:type="dxa" w:w="638"/>
                </w:tcPr>
                <w:p>
                  <w:pPr>
                    <w:pStyle w:val="null3"/>
                  </w:pPr>
                  <w:r>
                    <w:rPr>
                      <w:rFonts w:ascii="仿宋_GB2312" w:hAnsi="仿宋_GB2312" w:cs="仿宋_GB2312" w:eastAsia="仿宋_GB2312"/>
                    </w:rPr>
                    <w:t>37</w:t>
                  </w:r>
                </w:p>
              </w:tc>
              <w:tc>
                <w:tcPr>
                  <w:tcW w:type="dxa" w:w="638"/>
                </w:tcPr>
                <w:p>
                  <w:pPr>
                    <w:pStyle w:val="null3"/>
                  </w:pPr>
                  <w:r>
                    <w:rPr>
                      <w:rFonts w:ascii="仿宋_GB2312" w:hAnsi="仿宋_GB2312" w:cs="仿宋_GB2312" w:eastAsia="仿宋_GB2312"/>
                    </w:rPr>
                    <w:t>m²</w:t>
                  </w:r>
                </w:p>
              </w:tc>
            </w:tr>
            <w:tr>
              <w:tc>
                <w:tcPr>
                  <w:tcW w:type="dxa" w:w="638"/>
                </w:tcPr>
                <w:p>
                  <w:pPr>
                    <w:pStyle w:val="null3"/>
                  </w:pPr>
                  <w:r>
                    <w:rPr>
                      <w:rFonts w:ascii="仿宋_GB2312" w:hAnsi="仿宋_GB2312" w:cs="仿宋_GB2312" w:eastAsia="仿宋_GB2312"/>
                    </w:rPr>
                    <w:t>20</w:t>
                  </w:r>
                </w:p>
              </w:tc>
              <w:tc>
                <w:tcPr>
                  <w:tcW w:type="dxa" w:w="638"/>
                </w:tcPr>
                <w:p>
                  <w:pPr>
                    <w:pStyle w:val="null3"/>
                  </w:pPr>
                  <w:r>
                    <w:rPr>
                      <w:rFonts w:ascii="仿宋_GB2312" w:hAnsi="仿宋_GB2312" w:cs="仿宋_GB2312" w:eastAsia="仿宋_GB2312"/>
                    </w:rPr>
                    <w:t>围栏安装（高度1.2m）</w:t>
                  </w:r>
                </w:p>
              </w:tc>
              <w:tc>
                <w:tcPr>
                  <w:tcW w:type="dxa" w:w="638"/>
                </w:tcPr>
                <w:p>
                  <w:pPr>
                    <w:pStyle w:val="null3"/>
                  </w:pPr>
                  <w:r>
                    <w:rPr>
                      <w:rFonts w:ascii="仿宋_GB2312" w:hAnsi="仿宋_GB2312" w:cs="仿宋_GB2312" w:eastAsia="仿宋_GB2312"/>
                    </w:rPr>
                    <w:t>13.5</w:t>
                  </w:r>
                </w:p>
              </w:tc>
              <w:tc>
                <w:tcPr>
                  <w:tcW w:type="dxa" w:w="638"/>
                </w:tcPr>
                <w:p>
                  <w:pPr>
                    <w:pStyle w:val="null3"/>
                  </w:pPr>
                  <w:r>
                    <w:rPr>
                      <w:rFonts w:ascii="仿宋_GB2312" w:hAnsi="仿宋_GB2312" w:cs="仿宋_GB2312" w:eastAsia="仿宋_GB2312"/>
                    </w:rPr>
                    <w:t>m</w:t>
                  </w:r>
                </w:p>
              </w:tc>
            </w:tr>
            <w:tr>
              <w:tc>
                <w:tcPr>
                  <w:tcW w:type="dxa" w:w="638"/>
                </w:tcPr>
                <w:p>
                  <w:pPr>
                    <w:pStyle w:val="null3"/>
                  </w:pPr>
                  <w:r>
                    <w:rPr>
                      <w:rFonts w:ascii="仿宋_GB2312" w:hAnsi="仿宋_GB2312" w:cs="仿宋_GB2312" w:eastAsia="仿宋_GB2312"/>
                    </w:rPr>
                    <w:t>21</w:t>
                  </w:r>
                </w:p>
              </w:tc>
              <w:tc>
                <w:tcPr>
                  <w:tcW w:type="dxa" w:w="638"/>
                </w:tcPr>
                <w:p>
                  <w:pPr>
                    <w:pStyle w:val="null3"/>
                  </w:pPr>
                  <w:r>
                    <w:rPr>
                      <w:rFonts w:ascii="仿宋_GB2312" w:hAnsi="仿宋_GB2312" w:cs="仿宋_GB2312" w:eastAsia="仿宋_GB2312"/>
                    </w:rPr>
                    <w:t>修剪枯死病枝</w:t>
                  </w:r>
                </w:p>
              </w:tc>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项</w:t>
                  </w:r>
                </w:p>
              </w:tc>
            </w:tr>
            <w:tr>
              <w:tc>
                <w:tcPr>
                  <w:tcW w:type="dxa" w:w="638"/>
                </w:tcPr>
                <w:p>
                  <w:pPr>
                    <w:pStyle w:val="null3"/>
                  </w:pPr>
                  <w:r>
                    <w:rPr>
                      <w:rFonts w:ascii="仿宋_GB2312" w:hAnsi="仿宋_GB2312" w:cs="仿宋_GB2312" w:eastAsia="仿宋_GB2312"/>
                    </w:rPr>
                    <w:t>22</w:t>
                  </w:r>
                </w:p>
              </w:tc>
              <w:tc>
                <w:tcPr>
                  <w:tcW w:type="dxa" w:w="638"/>
                </w:tcPr>
                <w:p>
                  <w:pPr>
                    <w:pStyle w:val="null3"/>
                  </w:pPr>
                  <w:r>
                    <w:rPr>
                      <w:rFonts w:ascii="仿宋_GB2312" w:hAnsi="仿宋_GB2312" w:cs="仿宋_GB2312" w:eastAsia="仿宋_GB2312"/>
                    </w:rPr>
                    <w:t>悬挂营养液</w:t>
                  </w:r>
                </w:p>
              </w:tc>
              <w:tc>
                <w:tcPr>
                  <w:tcW w:type="dxa" w:w="638"/>
                </w:tcPr>
                <w:p>
                  <w:pPr>
                    <w:pStyle w:val="null3"/>
                  </w:pPr>
                  <w:r>
                    <w:rPr>
                      <w:rFonts w:ascii="仿宋_GB2312" w:hAnsi="仿宋_GB2312" w:cs="仿宋_GB2312" w:eastAsia="仿宋_GB2312"/>
                    </w:rPr>
                    <w:t>42</w:t>
                  </w:r>
                </w:p>
              </w:tc>
              <w:tc>
                <w:tcPr>
                  <w:tcW w:type="dxa" w:w="638"/>
                </w:tcPr>
                <w:p>
                  <w:pPr>
                    <w:pStyle w:val="null3"/>
                  </w:pPr>
                  <w:r>
                    <w:rPr>
                      <w:rFonts w:ascii="仿宋_GB2312" w:hAnsi="仿宋_GB2312" w:cs="仿宋_GB2312" w:eastAsia="仿宋_GB2312"/>
                    </w:rPr>
                    <w:t>袋</w:t>
                  </w:r>
                </w:p>
              </w:tc>
            </w:tr>
            <w:tr>
              <w:tc>
                <w:tcPr>
                  <w:tcW w:type="dxa" w:w="638"/>
                </w:tcPr>
                <w:p>
                  <w:pPr>
                    <w:pStyle w:val="null3"/>
                  </w:pPr>
                  <w:r>
                    <w:rPr>
                      <w:rFonts w:ascii="仿宋_GB2312" w:hAnsi="仿宋_GB2312" w:cs="仿宋_GB2312" w:eastAsia="仿宋_GB2312"/>
                    </w:rPr>
                    <w:t>23</w:t>
                  </w:r>
                </w:p>
              </w:tc>
              <w:tc>
                <w:tcPr>
                  <w:tcW w:type="dxa" w:w="638"/>
                </w:tcPr>
                <w:p>
                  <w:pPr>
                    <w:pStyle w:val="null3"/>
                  </w:pPr>
                  <w:r>
                    <w:rPr>
                      <w:rFonts w:ascii="仿宋_GB2312" w:hAnsi="仿宋_GB2312" w:cs="仿宋_GB2312" w:eastAsia="仿宋_GB2312"/>
                    </w:rPr>
                    <w:t>叶面肥</w:t>
                  </w:r>
                </w:p>
              </w:tc>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次</w:t>
                  </w:r>
                </w:p>
              </w:tc>
            </w:tr>
            <w:tr>
              <w:tc>
                <w:tcPr>
                  <w:tcW w:type="dxa" w:w="638"/>
                </w:tcPr>
                <w:p>
                  <w:pPr>
                    <w:pStyle w:val="null3"/>
                  </w:pPr>
                  <w:r>
                    <w:rPr>
                      <w:rFonts w:ascii="仿宋_GB2312" w:hAnsi="仿宋_GB2312" w:cs="仿宋_GB2312" w:eastAsia="仿宋_GB2312"/>
                    </w:rPr>
                    <w:t>24</w:t>
                  </w:r>
                </w:p>
              </w:tc>
              <w:tc>
                <w:tcPr>
                  <w:tcW w:type="dxa" w:w="638"/>
                </w:tcPr>
                <w:p>
                  <w:pPr>
                    <w:pStyle w:val="null3"/>
                  </w:pPr>
                  <w:r>
                    <w:rPr>
                      <w:rFonts w:ascii="仿宋_GB2312" w:hAnsi="仿宋_GB2312" w:cs="仿宋_GB2312" w:eastAsia="仿宋_GB2312"/>
                    </w:rPr>
                    <w:t>根部复壮</w:t>
                  </w:r>
                </w:p>
              </w:tc>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项</w:t>
                  </w:r>
                </w:p>
              </w:tc>
            </w:tr>
            <w:tr>
              <w:tc>
                <w:tcPr>
                  <w:tcW w:type="dxa" w:w="638"/>
                </w:tcPr>
                <w:p>
                  <w:pPr>
                    <w:pStyle w:val="null3"/>
                  </w:pPr>
                  <w:r>
                    <w:rPr>
                      <w:rFonts w:ascii="仿宋_GB2312" w:hAnsi="仿宋_GB2312" w:cs="仿宋_GB2312" w:eastAsia="仿宋_GB2312"/>
                    </w:rPr>
                    <w:t>25</w:t>
                  </w:r>
                </w:p>
              </w:tc>
              <w:tc>
                <w:tcPr>
                  <w:tcW w:type="dxa" w:w="638"/>
                </w:tcPr>
                <w:p>
                  <w:pPr>
                    <w:pStyle w:val="null3"/>
                  </w:pPr>
                  <w:r>
                    <w:rPr>
                      <w:rFonts w:ascii="仿宋_GB2312" w:hAnsi="仿宋_GB2312" w:cs="仿宋_GB2312" w:eastAsia="仿宋_GB2312"/>
                    </w:rPr>
                    <w:t>硬化地面破除</w:t>
                  </w:r>
                </w:p>
              </w:tc>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m²</w:t>
                  </w:r>
                </w:p>
              </w:tc>
            </w:tr>
            <w:tr>
              <w:tc>
                <w:tcPr>
                  <w:tcW w:type="dxa" w:w="638"/>
                </w:tcPr>
                <w:p>
                  <w:pPr>
                    <w:pStyle w:val="null3"/>
                  </w:pPr>
                  <w:r>
                    <w:rPr>
                      <w:rFonts w:ascii="仿宋_GB2312" w:hAnsi="仿宋_GB2312" w:cs="仿宋_GB2312" w:eastAsia="仿宋_GB2312"/>
                    </w:rPr>
                    <w:t>26</w:t>
                  </w:r>
                </w:p>
              </w:tc>
              <w:tc>
                <w:tcPr>
                  <w:tcW w:type="dxa" w:w="638"/>
                </w:tcPr>
                <w:p>
                  <w:pPr>
                    <w:pStyle w:val="null3"/>
                  </w:pPr>
                  <w:r>
                    <w:rPr>
                      <w:rFonts w:ascii="仿宋_GB2312" w:hAnsi="仿宋_GB2312" w:cs="仿宋_GB2312" w:eastAsia="仿宋_GB2312"/>
                    </w:rPr>
                    <w:t>营养土换填</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m³</w:t>
                  </w:r>
                </w:p>
              </w:tc>
            </w:tr>
            <w:tr>
              <w:tc>
                <w:tcPr>
                  <w:tcW w:type="dxa" w:w="638"/>
                </w:tcPr>
                <w:p>
                  <w:pPr>
                    <w:pStyle w:val="null3"/>
                  </w:pPr>
                  <w:r>
                    <w:rPr>
                      <w:rFonts w:ascii="仿宋_GB2312" w:hAnsi="仿宋_GB2312" w:cs="仿宋_GB2312" w:eastAsia="仿宋_GB2312"/>
                    </w:rPr>
                    <w:t>27</w:t>
                  </w:r>
                </w:p>
              </w:tc>
              <w:tc>
                <w:tcPr>
                  <w:tcW w:type="dxa" w:w="638"/>
                </w:tcPr>
                <w:p>
                  <w:pPr>
                    <w:pStyle w:val="null3"/>
                  </w:pPr>
                  <w:r>
                    <w:rPr>
                      <w:rFonts w:ascii="仿宋_GB2312" w:hAnsi="仿宋_GB2312" w:cs="仿宋_GB2312" w:eastAsia="仿宋_GB2312"/>
                    </w:rPr>
                    <w:t>原有园路修复</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项</w:t>
                  </w:r>
                </w:p>
              </w:tc>
            </w:tr>
            <w:tr>
              <w:tc>
                <w:tcPr>
                  <w:tcW w:type="dxa" w:w="638"/>
                </w:tcPr>
                <w:p>
                  <w:pPr>
                    <w:pStyle w:val="null3"/>
                  </w:pPr>
                  <w:r>
                    <w:rPr>
                      <w:rFonts w:ascii="仿宋_GB2312" w:hAnsi="仿宋_GB2312" w:cs="仿宋_GB2312" w:eastAsia="仿宋_GB2312"/>
                    </w:rPr>
                    <w:t>28</w:t>
                  </w:r>
                </w:p>
              </w:tc>
              <w:tc>
                <w:tcPr>
                  <w:tcW w:type="dxa" w:w="638"/>
                </w:tcPr>
                <w:p>
                  <w:pPr>
                    <w:pStyle w:val="null3"/>
                  </w:pPr>
                  <w:r>
                    <w:rPr>
                      <w:rFonts w:ascii="仿宋_GB2312" w:hAnsi="仿宋_GB2312" w:cs="仿宋_GB2312" w:eastAsia="仿宋_GB2312"/>
                    </w:rPr>
                    <w:t>原有树池填充清理</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处</w:t>
                  </w:r>
                </w:p>
              </w:tc>
            </w:tr>
            <w:tr>
              <w:tc>
                <w:tcPr>
                  <w:tcW w:type="dxa" w:w="638"/>
                </w:tcPr>
                <w:p>
                  <w:pPr>
                    <w:pStyle w:val="null3"/>
                  </w:pPr>
                  <w:r>
                    <w:rPr>
                      <w:rFonts w:ascii="仿宋_GB2312" w:hAnsi="仿宋_GB2312" w:cs="仿宋_GB2312" w:eastAsia="仿宋_GB2312"/>
                    </w:rPr>
                    <w:t>29</w:t>
                  </w:r>
                </w:p>
              </w:tc>
              <w:tc>
                <w:tcPr>
                  <w:tcW w:type="dxa" w:w="638"/>
                </w:tcPr>
                <w:p>
                  <w:pPr>
                    <w:pStyle w:val="null3"/>
                  </w:pPr>
                  <w:r>
                    <w:rPr>
                      <w:rFonts w:ascii="仿宋_GB2312" w:hAnsi="仿宋_GB2312" w:cs="仿宋_GB2312" w:eastAsia="仿宋_GB2312"/>
                    </w:rPr>
                    <w:t>支撑基础地面破除及恢复</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项</w:t>
                  </w:r>
                </w:p>
              </w:tc>
            </w:tr>
            <w:tr>
              <w:tc>
                <w:tcPr>
                  <w:tcW w:type="dxa" w:w="638"/>
                </w:tcPr>
                <w:p>
                  <w:pPr>
                    <w:pStyle w:val="null3"/>
                  </w:pPr>
                  <w:r>
                    <w:rPr>
                      <w:rFonts w:ascii="仿宋_GB2312" w:hAnsi="仿宋_GB2312" w:cs="仿宋_GB2312" w:eastAsia="仿宋_GB2312"/>
                    </w:rPr>
                    <w:t>30</w:t>
                  </w:r>
                </w:p>
              </w:tc>
              <w:tc>
                <w:tcPr>
                  <w:tcW w:type="dxa" w:w="638"/>
                </w:tcPr>
                <w:p>
                  <w:pPr>
                    <w:pStyle w:val="null3"/>
                  </w:pPr>
                  <w:r>
                    <w:rPr>
                      <w:rFonts w:ascii="仿宋_GB2312" w:hAnsi="仿宋_GB2312" w:cs="仿宋_GB2312" w:eastAsia="仿宋_GB2312"/>
                    </w:rPr>
                    <w:t>民宅台阶、地面破除</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项</w:t>
                  </w:r>
                </w:p>
              </w:tc>
            </w:tr>
            <w:tr>
              <w:tc>
                <w:tcPr>
                  <w:tcW w:type="dxa" w:w="638"/>
                </w:tcPr>
                <w:p>
                  <w:pPr>
                    <w:pStyle w:val="null3"/>
                  </w:pPr>
                  <w:r>
                    <w:rPr>
                      <w:rFonts w:ascii="仿宋_GB2312" w:hAnsi="仿宋_GB2312" w:cs="仿宋_GB2312" w:eastAsia="仿宋_GB2312"/>
                    </w:rPr>
                    <w:t>31</w:t>
                  </w:r>
                </w:p>
              </w:tc>
              <w:tc>
                <w:tcPr>
                  <w:tcW w:type="dxa" w:w="638"/>
                </w:tcPr>
                <w:p>
                  <w:pPr>
                    <w:pStyle w:val="null3"/>
                  </w:pPr>
                  <w:r>
                    <w:rPr>
                      <w:rFonts w:ascii="仿宋_GB2312" w:hAnsi="仿宋_GB2312" w:cs="仿宋_GB2312" w:eastAsia="仿宋_GB2312"/>
                    </w:rPr>
                    <w:t>民宅墙体临时支护</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项</w:t>
                  </w:r>
                </w:p>
              </w:tc>
            </w:tr>
            <w:tr>
              <w:tc>
                <w:tcPr>
                  <w:tcW w:type="dxa" w:w="638"/>
                </w:tcPr>
                <w:p>
                  <w:pPr>
                    <w:pStyle w:val="null3"/>
                  </w:pPr>
                  <w:r>
                    <w:rPr>
                      <w:rFonts w:ascii="仿宋_GB2312" w:hAnsi="仿宋_GB2312" w:cs="仿宋_GB2312" w:eastAsia="仿宋_GB2312"/>
                    </w:rPr>
                    <w:t>32</w:t>
                  </w:r>
                </w:p>
              </w:tc>
              <w:tc>
                <w:tcPr>
                  <w:tcW w:type="dxa" w:w="638"/>
                </w:tcPr>
                <w:p>
                  <w:pPr>
                    <w:pStyle w:val="null3"/>
                  </w:pPr>
                  <w:r>
                    <w:rPr>
                      <w:rFonts w:ascii="仿宋_GB2312" w:hAnsi="仿宋_GB2312" w:cs="仿宋_GB2312" w:eastAsia="仿宋_GB2312"/>
                    </w:rPr>
                    <w:t>民宅台阶、地面恢复</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项</w:t>
                  </w:r>
                </w:p>
              </w:tc>
            </w:tr>
            <w:tr>
              <w:tc>
                <w:tcPr>
                  <w:tcW w:type="dxa" w:w="638"/>
                </w:tcPr>
                <w:p>
                  <w:pPr>
                    <w:pStyle w:val="null3"/>
                  </w:pPr>
                  <w:r>
                    <w:rPr>
                      <w:rFonts w:ascii="仿宋_GB2312" w:hAnsi="仿宋_GB2312" w:cs="仿宋_GB2312" w:eastAsia="仿宋_GB2312"/>
                    </w:rPr>
                    <w:t>33</w:t>
                  </w:r>
                </w:p>
              </w:tc>
              <w:tc>
                <w:tcPr>
                  <w:tcW w:type="dxa" w:w="638"/>
                </w:tcPr>
                <w:p>
                  <w:pPr>
                    <w:pStyle w:val="null3"/>
                  </w:pPr>
                  <w:r>
                    <w:rPr>
                      <w:rFonts w:ascii="仿宋_GB2312" w:hAnsi="仿宋_GB2312" w:cs="仿宋_GB2312" w:eastAsia="仿宋_GB2312"/>
                    </w:rPr>
                    <w:t>垃圾清运</w:t>
                  </w:r>
                </w:p>
              </w:tc>
              <w:tc>
                <w:tcPr>
                  <w:tcW w:type="dxa" w:w="638"/>
                </w:tcPr>
                <w:p>
                  <w:pPr>
                    <w:pStyle w:val="null3"/>
                  </w:pPr>
                  <w:r>
                    <w:rPr>
                      <w:rFonts w:ascii="仿宋_GB2312" w:hAnsi="仿宋_GB2312" w:cs="仿宋_GB2312" w:eastAsia="仿宋_GB2312"/>
                    </w:rPr>
                    <w:t>41</w:t>
                  </w:r>
                </w:p>
              </w:tc>
              <w:tc>
                <w:tcPr>
                  <w:tcW w:type="dxa" w:w="638"/>
                </w:tcPr>
                <w:p>
                  <w:pPr>
                    <w:pStyle w:val="null3"/>
                  </w:pPr>
                  <w:r>
                    <w:rPr>
                      <w:rFonts w:ascii="仿宋_GB2312" w:hAnsi="仿宋_GB2312" w:cs="仿宋_GB2312" w:eastAsia="仿宋_GB2312"/>
                    </w:rPr>
                    <w:t>m³</w:t>
                  </w:r>
                </w:p>
              </w:tc>
            </w:tr>
            <w:tr>
              <w:tc>
                <w:tcPr>
                  <w:tcW w:type="dxa" w:w="638"/>
                </w:tcPr>
                <w:p>
                  <w:pPr>
                    <w:pStyle w:val="null3"/>
                  </w:pPr>
                  <w:r>
                    <w:rPr>
                      <w:rFonts w:ascii="仿宋_GB2312" w:hAnsi="仿宋_GB2312" w:cs="仿宋_GB2312" w:eastAsia="仿宋_GB2312"/>
                    </w:rPr>
                    <w:t>34</w:t>
                  </w:r>
                </w:p>
              </w:tc>
              <w:tc>
                <w:tcPr>
                  <w:tcW w:type="dxa" w:w="638"/>
                </w:tcPr>
                <w:p>
                  <w:pPr>
                    <w:pStyle w:val="null3"/>
                  </w:pPr>
                  <w:r>
                    <w:rPr>
                      <w:rFonts w:ascii="仿宋_GB2312" w:hAnsi="仿宋_GB2312" w:cs="仿宋_GB2312" w:eastAsia="仿宋_GB2312"/>
                    </w:rPr>
                    <w:t>古树保护调查设计费</w:t>
                  </w:r>
                </w:p>
              </w:tc>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项</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7、临渭区2026年中央财政林业草原生态保护恢复资金古树名木保护项目“一树一策”表</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所属区域</w:t>
                  </w:r>
                </w:p>
              </w:tc>
              <w:tc>
                <w:tcPr>
                  <w:tcW w:type="dxa" w:w="511"/>
                </w:tcPr>
                <w:p>
                  <w:pPr>
                    <w:pStyle w:val="null3"/>
                  </w:pPr>
                  <w:r>
                    <w:rPr>
                      <w:rFonts w:ascii="仿宋_GB2312" w:hAnsi="仿宋_GB2312" w:cs="仿宋_GB2312" w:eastAsia="仿宋_GB2312"/>
                    </w:rPr>
                    <w:t>古树编号</w:t>
                  </w:r>
                </w:p>
              </w:tc>
              <w:tc>
                <w:tcPr>
                  <w:tcW w:type="dxa" w:w="511"/>
                </w:tcPr>
                <w:p>
                  <w:pPr>
                    <w:pStyle w:val="null3"/>
                  </w:pPr>
                  <w:r>
                    <w:rPr>
                      <w:rFonts w:ascii="仿宋_GB2312" w:hAnsi="仿宋_GB2312" w:cs="仿宋_GB2312" w:eastAsia="仿宋_GB2312"/>
                    </w:rPr>
                    <w:t>树种</w:t>
                  </w:r>
                </w:p>
              </w:tc>
              <w:tc>
                <w:tcPr>
                  <w:tcW w:type="dxa" w:w="511"/>
                </w:tcPr>
                <w:p>
                  <w:pPr>
                    <w:pStyle w:val="null3"/>
                  </w:pPr>
                  <w:r>
                    <w:rPr>
                      <w:rFonts w:ascii="仿宋_GB2312" w:hAnsi="仿宋_GB2312" w:cs="仿宋_GB2312" w:eastAsia="仿宋_GB2312"/>
                    </w:rPr>
                    <w:t>古树现状</w:t>
                  </w:r>
                </w:p>
              </w:tc>
              <w:tc>
                <w:tcPr>
                  <w:tcW w:type="dxa" w:w="511"/>
                </w:tcPr>
                <w:p>
                  <w:pPr>
                    <w:pStyle w:val="null3"/>
                  </w:pPr>
                  <w:r>
                    <w:rPr>
                      <w:rFonts w:ascii="仿宋_GB2312" w:hAnsi="仿宋_GB2312" w:cs="仿宋_GB2312" w:eastAsia="仿宋_GB2312"/>
                    </w:rPr>
                    <w:t>保护措施</w:t>
                  </w:r>
                </w:p>
              </w:tc>
            </w:tr>
            <w:tr>
              <w:tc>
                <w:tcPr>
                  <w:tcW w:type="dxa" w:w="511"/>
                  <w:vMerge w:val="restart"/>
                </w:tcPr>
                <w:p>
                  <w:pPr>
                    <w:pStyle w:val="null3"/>
                  </w:pPr>
                  <w:r>
                    <w:rPr>
                      <w:rFonts w:ascii="仿宋_GB2312" w:hAnsi="仿宋_GB2312" w:cs="仿宋_GB2312" w:eastAsia="仿宋_GB2312"/>
                    </w:rPr>
                    <w:t>丰原镇</w:t>
                  </w:r>
                </w:p>
                <w:p>
                  <w:pPr>
                    <w:pStyle w:val="null3"/>
                  </w:pPr>
                  <w:r>
                    <w:rPr>
                      <w:rFonts w:ascii="仿宋_GB2312" w:hAnsi="仿宋_GB2312" w:cs="仿宋_GB2312" w:eastAsia="仿宋_GB2312"/>
                    </w:rPr>
                    <w:t>胜利村</w:t>
                  </w:r>
                </w:p>
              </w:tc>
              <w:tc>
                <w:tcPr>
                  <w:tcW w:type="dxa" w:w="511"/>
                  <w:vMerge w:val="restart"/>
                </w:tcPr>
                <w:p>
                  <w:pPr>
                    <w:pStyle w:val="null3"/>
                  </w:pPr>
                  <w:r>
                    <w:rPr>
                      <w:rFonts w:ascii="仿宋_GB2312" w:hAnsi="仿宋_GB2312" w:cs="仿宋_GB2312" w:eastAsia="仿宋_GB2312"/>
                    </w:rPr>
                    <w:t>61050203051</w:t>
                  </w:r>
                </w:p>
              </w:tc>
              <w:tc>
                <w:tcPr>
                  <w:tcW w:type="dxa" w:w="511"/>
                  <w:vMerge w:val="restart"/>
                </w:tcPr>
                <w:p>
                  <w:pPr>
                    <w:pStyle w:val="null3"/>
                  </w:pPr>
                  <w:r>
                    <w:rPr>
                      <w:rFonts w:ascii="仿宋_GB2312" w:hAnsi="仿宋_GB2312" w:cs="仿宋_GB2312" w:eastAsia="仿宋_GB2312"/>
                    </w:rPr>
                    <w:t>国槐</w:t>
                  </w:r>
                </w:p>
              </w:tc>
              <w:tc>
                <w:tcPr>
                  <w:tcW w:type="dxa" w:w="511"/>
                </w:tcPr>
                <w:p>
                  <w:pPr>
                    <w:pStyle w:val="null3"/>
                  </w:pPr>
                  <w:r>
                    <w:rPr>
                      <w:rFonts w:ascii="仿宋_GB2312" w:hAnsi="仿宋_GB2312" w:cs="仿宋_GB2312" w:eastAsia="仿宋_GB2312"/>
                    </w:rPr>
                    <w:t>树体高大，主干 在约2.5米处开始分叉，形成两大一级分枝，随后进一步多级分枝，主 枝粗壮、扭曲延伸，侧枝细密交错，整体树冠呈不规则的阔卵形</w:t>
                  </w:r>
                </w:p>
              </w:tc>
              <w:tc>
                <w:tcPr>
                  <w:tcW w:type="dxa" w:w="511"/>
                  <w:vMerge w:val="restart"/>
                </w:tcPr>
                <w:p>
                  <w:pPr>
                    <w:pStyle w:val="null3"/>
                  </w:pPr>
                  <w:r>
                    <w:rPr>
                      <w:rFonts w:ascii="仿宋_GB2312" w:hAnsi="仿宋_GB2312" w:cs="仿宋_GB2312" w:eastAsia="仿宋_GB2312"/>
                    </w:rPr>
                    <w:t>清腐防腐：树身腐朽部位全面清理，分层涂刷防腐药剂；</w:t>
                  </w:r>
                </w:p>
                <w:p>
                  <w:pPr>
                    <w:pStyle w:val="null3"/>
                  </w:pPr>
                  <w:r>
                    <w:rPr>
                      <w:rFonts w:ascii="仿宋_GB2312" w:hAnsi="仿宋_GB2312" w:cs="仿宋_GB2312" w:eastAsia="仿宋_GB2312"/>
                    </w:rPr>
                    <w:t>结构加固：镀锌钢管支撑+钢缆牵拉固定倾斜枝干；</w:t>
                  </w:r>
                </w:p>
                <w:p>
                  <w:pPr>
                    <w:pStyle w:val="null3"/>
                  </w:pPr>
                  <w:r>
                    <w:rPr>
                      <w:rFonts w:ascii="仿宋_GB2312" w:hAnsi="仿宋_GB2312" w:cs="仿宋_GB2312" w:eastAsia="仿宋_GB2312"/>
                    </w:rPr>
                    <w:t>地面改造：破除硬化地面，外运建筑垃圾，回填营养土，埋设透气装置；</w:t>
                  </w:r>
                </w:p>
                <w:p>
                  <w:pPr>
                    <w:pStyle w:val="null3"/>
                  </w:pPr>
                  <w:r>
                    <w:rPr>
                      <w:rFonts w:ascii="仿宋_GB2312" w:hAnsi="仿宋_GB2312" w:cs="仿宋_GB2312" w:eastAsia="仿宋_GB2312"/>
                    </w:rPr>
                    <w:t>树洞防渗修复：钢筋骨架+环保填充材料封堵，表层仿真调色；</w:t>
                  </w:r>
                </w:p>
                <w:p>
                  <w:pPr>
                    <w:pStyle w:val="null3"/>
                  </w:pPr>
                  <w:r>
                    <w:rPr>
                      <w:rFonts w:ascii="仿宋_GB2312" w:hAnsi="仿宋_GB2312" w:cs="仿宋_GB2312" w:eastAsia="仿宋_GB2312"/>
                    </w:rPr>
                    <w:t>复壮养护：根部复壮施肥、悬挂营养液、叶面肥喷施；</w:t>
                  </w:r>
                </w:p>
                <w:p>
                  <w:pPr>
                    <w:pStyle w:val="null3"/>
                  </w:pPr>
                  <w:r>
                    <w:rPr>
                      <w:rFonts w:ascii="仿宋_GB2312" w:hAnsi="仿宋_GB2312" w:cs="仿宋_GB2312" w:eastAsia="仿宋_GB2312"/>
                    </w:rPr>
                    <w:t>病虫治理：药剂喷雾消杀，修剪全部枯死枝条清运；</w:t>
                  </w:r>
                </w:p>
                <w:p>
                  <w:pPr>
                    <w:pStyle w:val="null3"/>
                  </w:pPr>
                  <w:r>
                    <w:rPr>
                      <w:rFonts w:ascii="仿宋_GB2312" w:hAnsi="仿宋_GB2312" w:cs="仿宋_GB2312" w:eastAsia="仿宋_GB2312"/>
                    </w:rPr>
                    <w:t>配套设施：定制安装古树保护牌、外围防护围栏</w:t>
                  </w: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位于临渭区丰原镇胜利村村民宅基地西北角处，北侧为硬化村道， 西侧为住宅建筑，南侧、东侧为荒废宅基地，且周围堆放大量建筑建 筑垃圾及枯枝腐木，树基周围直径约5m，原生长地面以上有0.4-0.7m 垃圾土堆填。</w:t>
                  </w:r>
                </w:p>
              </w:tc>
              <w:tc>
                <w:tcPr>
                  <w:tcW w:type="dxa" w:w="511"/>
                  <w:vMerge/>
                </w:tcP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 xml:space="preserve"> 古树东侧、南侧有共计4株高度约8m刺槐伴生，地面大量杂草及 少量杂灌生长，采光及通风相对良好。 古树主干在约2.5米处开始分叉，形成两大一级分枝，西侧一级分枝直径0.6m，东南侧一级分枝直径0.7m；西侧一级分枝沿分支点向上1米处存在一朝天小洞，洞深约1m，洞内木质部已干腐，腐烂深度约3cm；东南侧一级分枝有多处小树洞及蛀干虫洞，其南侧二级分枝末端存在大量枯死病枝，树冠其余部位也存在部分枯死小枝。</w:t>
                  </w:r>
                </w:p>
              </w:tc>
              <w:tc>
                <w:tcPr>
                  <w:tcW w:type="dxa" w:w="511"/>
                  <w:vMerge/>
                </w:tcP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经调查，古树历年常有食叶害虫尺蠖、蚜虫存在，东南侧一级分枝存在多处蛀干虫孔以及霉菌生长，古树受病虫害侵染严重。</w:t>
                  </w:r>
                </w:p>
              </w:tc>
              <w:tc>
                <w:tcPr>
                  <w:tcW w:type="dxa" w:w="511"/>
                  <w:vMerge/>
                </w:tcPr>
                <w:p/>
              </w:tc>
            </w:tr>
            <w:tr>
              <w:tc>
                <w:tcPr>
                  <w:tcW w:type="dxa" w:w="511"/>
                  <w:vMerge w:val="restart"/>
                </w:tcPr>
                <w:p>
                  <w:pPr>
                    <w:pStyle w:val="null3"/>
                  </w:pPr>
                  <w:r>
                    <w:rPr>
                      <w:rFonts w:ascii="仿宋_GB2312" w:hAnsi="仿宋_GB2312" w:cs="仿宋_GB2312" w:eastAsia="仿宋_GB2312"/>
                    </w:rPr>
                    <w:t>向阳办</w:t>
                  </w:r>
                </w:p>
                <w:p>
                  <w:pPr>
                    <w:pStyle w:val="null3"/>
                  </w:pPr>
                  <w:r>
                    <w:rPr>
                      <w:rFonts w:ascii="仿宋_GB2312" w:hAnsi="仿宋_GB2312" w:cs="仿宋_GB2312" w:eastAsia="仿宋_GB2312"/>
                    </w:rPr>
                    <w:t>瓦塔村</w:t>
                  </w:r>
                </w:p>
              </w:tc>
              <w:tc>
                <w:tcPr>
                  <w:tcW w:type="dxa" w:w="511"/>
                  <w:vMerge w:val="restart"/>
                </w:tcPr>
                <w:p>
                  <w:pPr>
                    <w:pStyle w:val="null3"/>
                  </w:pPr>
                  <w:r>
                    <w:rPr>
                      <w:rFonts w:ascii="仿宋_GB2312" w:hAnsi="仿宋_GB2312" w:cs="仿宋_GB2312" w:eastAsia="仿宋_GB2312"/>
                    </w:rPr>
                    <w:t>61050203001</w:t>
                  </w:r>
                </w:p>
              </w:tc>
              <w:tc>
                <w:tcPr>
                  <w:tcW w:type="dxa" w:w="511"/>
                  <w:vMerge w:val="restart"/>
                </w:tcPr>
                <w:p>
                  <w:pPr>
                    <w:pStyle w:val="null3"/>
                  </w:pPr>
                  <w:r>
                    <w:rPr>
                      <w:rFonts w:ascii="仿宋_GB2312" w:hAnsi="仿宋_GB2312" w:cs="仿宋_GB2312" w:eastAsia="仿宋_GB2312"/>
                    </w:rPr>
                    <w:t>国槐</w:t>
                  </w:r>
                </w:p>
              </w:tc>
              <w:tc>
                <w:tcPr>
                  <w:tcW w:type="dxa" w:w="511"/>
                </w:tcPr>
                <w:p>
                  <w:pPr>
                    <w:pStyle w:val="null3"/>
                  </w:pPr>
                  <w:r>
                    <w:rPr>
                      <w:rFonts w:ascii="仿宋_GB2312" w:hAnsi="仿宋_GB2312" w:cs="仿宋_GB2312" w:eastAsia="仿宋_GB2312"/>
                    </w:rPr>
                    <w:t>树龄650年，树高9m，胸径1.1m，平均冠幅7m；原有分枝均已断折，目前树冠均为再生冠，整体树冠呈偏冠伞形。主干西北侧呈开放式空腐贯穿体，从地面约2.5米处开始向东南方向水平弯曲，弯曲弧度接近90。</w:t>
                  </w:r>
                </w:p>
              </w:tc>
              <w:tc>
                <w:tcPr>
                  <w:tcW w:type="dxa" w:w="511"/>
                  <w:vMerge w:val="restart"/>
                </w:tcPr>
                <w:p>
                  <w:pPr>
                    <w:pStyle w:val="null3"/>
                  </w:pPr>
                  <w:r>
                    <w:rPr>
                      <w:rFonts w:ascii="仿宋_GB2312" w:hAnsi="仿宋_GB2312" w:cs="仿宋_GB2312" w:eastAsia="仿宋_GB2312"/>
                    </w:rPr>
                    <w:t>局部树皮腐坏清理、防腐涂刷，小型树洞防渗修复；</w:t>
                  </w:r>
                </w:p>
                <w:p>
                  <w:pPr>
                    <w:pStyle w:val="null3"/>
                  </w:pPr>
                  <w:r>
                    <w:rPr>
                      <w:rFonts w:ascii="仿宋_GB2312" w:hAnsi="仿宋_GB2312" w:cs="仿宋_GB2312" w:eastAsia="仿宋_GB2312"/>
                    </w:rPr>
                    <w:t>树盘硬化地面局部破除，回填营养土；</w:t>
                  </w:r>
                </w:p>
                <w:p>
                  <w:pPr>
                    <w:pStyle w:val="null3"/>
                  </w:pPr>
                  <w:r>
                    <w:rPr>
                      <w:rFonts w:ascii="仿宋_GB2312" w:hAnsi="仿宋_GB2312" w:cs="仿宋_GB2312" w:eastAsia="仿宋_GB2312"/>
                    </w:rPr>
                    <w:t>埋设环形回型透气管道，改良根系生长环境；</w:t>
                  </w:r>
                </w:p>
                <w:p>
                  <w:pPr>
                    <w:pStyle w:val="null3"/>
                  </w:pPr>
                  <w:r>
                    <w:rPr>
                      <w:rFonts w:ascii="仿宋_GB2312" w:hAnsi="仿宋_GB2312" w:cs="仿宋_GB2312" w:eastAsia="仿宋_GB2312"/>
                    </w:rPr>
                    <w:t>修剪枯死病枝，药剂消杀虫害；</w:t>
                  </w:r>
                </w:p>
                <w:p>
                  <w:pPr>
                    <w:pStyle w:val="null3"/>
                  </w:pPr>
                  <w:r>
                    <w:rPr>
                      <w:rFonts w:ascii="仿宋_GB2312" w:hAnsi="仿宋_GB2312" w:cs="仿宋_GB2312" w:eastAsia="仿宋_GB2312"/>
                    </w:rPr>
                    <w:t>悬挂营养液、叶面肥、根部复壮施肥；</w:t>
                  </w:r>
                </w:p>
                <w:p>
                  <w:pPr>
                    <w:pStyle w:val="null3"/>
                  </w:pPr>
                  <w:r>
                    <w:rPr>
                      <w:rFonts w:ascii="仿宋_GB2312" w:hAnsi="仿宋_GB2312" w:cs="仿宋_GB2312" w:eastAsia="仿宋_GB2312"/>
                    </w:rPr>
                    <w:t>寺院园路破损处修复整平，安装1.2m仿木防护围栏、保护标牌垃圾清运。</w:t>
                  </w: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古树位于临渭区向阳办瓦塔村村民入户门口旁，东南侧为硬化村</w:t>
                  </w:r>
                </w:p>
                <w:p>
                  <w:pPr>
                    <w:pStyle w:val="null3"/>
                  </w:pPr>
                  <w:r>
                    <w:rPr>
                      <w:rFonts w:ascii="仿宋_GB2312" w:hAnsi="仿宋_GB2312" w:cs="仿宋_GB2312" w:eastAsia="仿宋_GB2312"/>
                    </w:rPr>
                    <w:t>道，西北侧紧邻住宅，东北侧为入户硬化地面，仅西南侧有少量裸露</w:t>
                  </w:r>
                </w:p>
                <w:p>
                  <w:pPr>
                    <w:pStyle w:val="null3"/>
                  </w:pPr>
                  <w:r>
                    <w:rPr>
                      <w:rFonts w:ascii="仿宋_GB2312" w:hAnsi="仿宋_GB2312" w:cs="仿宋_GB2312" w:eastAsia="仿宋_GB2312"/>
                    </w:rPr>
                    <w:t>地面且边缘高出路面约0.4m</w:t>
                  </w:r>
                </w:p>
              </w:tc>
              <w:tc>
                <w:tcPr>
                  <w:tcW w:type="dxa" w:w="511"/>
                  <w:vMerge/>
                </w:tcP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古树西南侧少量裸露地面生长大量灌木杂苗及杂草，汲取古树养分，影响古树生长。古树树身缺失，仅剩西北侧残存且呈开放式空腐贯穿整体，残存木质部厚度约5-20cm，树干从地面约2.5米处开始向东南方向水平弯90°，原有分枝均已断折，目前曲 ，弯曲弧度接近树冠均为再生冠且树冠有大量枯死小枝。</w:t>
                  </w:r>
                </w:p>
              </w:tc>
              <w:tc>
                <w:tcPr>
                  <w:tcW w:type="dxa" w:w="511"/>
                  <w:vMerge/>
                </w:tcP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古树主干存在虫孔，历年常有食叶害虫尺蠖、蚜虫存在，树身霉菌生长，古树受病虫害侵染严重。</w:t>
                  </w:r>
                </w:p>
              </w:tc>
              <w:tc>
                <w:tcPr>
                  <w:tcW w:type="dxa" w:w="511"/>
                  <w:vMerge/>
                </w:tcPr>
                <w:p/>
              </w:tc>
            </w:tr>
            <w:tr>
              <w:tc>
                <w:tcPr>
                  <w:tcW w:type="dxa" w:w="511"/>
                  <w:vMerge w:val="restart"/>
                </w:tcPr>
                <w:p>
                  <w:pPr>
                    <w:pStyle w:val="null3"/>
                  </w:pPr>
                  <w:r>
                    <w:rPr>
                      <w:rFonts w:ascii="仿宋_GB2312" w:hAnsi="仿宋_GB2312" w:cs="仿宋_GB2312" w:eastAsia="仿宋_GB2312"/>
                    </w:rPr>
                    <w:t>向阳办</w:t>
                  </w:r>
                </w:p>
                <w:p>
                  <w:pPr>
                    <w:pStyle w:val="null3"/>
                  </w:pPr>
                  <w:r>
                    <w:rPr>
                      <w:rFonts w:ascii="仿宋_GB2312" w:hAnsi="仿宋_GB2312" w:cs="仿宋_GB2312" w:eastAsia="仿宋_GB2312"/>
                    </w:rPr>
                    <w:t>毕家村</w:t>
                  </w:r>
                </w:p>
              </w:tc>
              <w:tc>
                <w:tcPr>
                  <w:tcW w:type="dxa" w:w="511"/>
                  <w:vMerge w:val="restart"/>
                </w:tcPr>
                <w:p>
                  <w:pPr>
                    <w:pStyle w:val="null3"/>
                  </w:pPr>
                  <w:r>
                    <w:rPr>
                      <w:rFonts w:ascii="仿宋_GB2312" w:hAnsi="仿宋_GB2312" w:cs="仿宋_GB2312" w:eastAsia="仿宋_GB2312"/>
                    </w:rPr>
                    <w:t>61050201039</w:t>
                  </w:r>
                </w:p>
              </w:tc>
              <w:tc>
                <w:tcPr>
                  <w:tcW w:type="dxa" w:w="511"/>
                  <w:vMerge w:val="restart"/>
                </w:tcPr>
                <w:p>
                  <w:pPr>
                    <w:pStyle w:val="null3"/>
                  </w:pPr>
                  <w:r>
                    <w:rPr>
                      <w:rFonts w:ascii="仿宋_GB2312" w:hAnsi="仿宋_GB2312" w:cs="仿宋_GB2312" w:eastAsia="仿宋_GB2312"/>
                    </w:rPr>
                    <w:t>国槐</w:t>
                  </w:r>
                </w:p>
              </w:tc>
              <w:tc>
                <w:tcPr>
                  <w:tcW w:type="dxa" w:w="511"/>
                </w:tcPr>
                <w:p>
                  <w:pPr>
                    <w:pStyle w:val="null3"/>
                  </w:pPr>
                  <w:r>
                    <w:rPr>
                      <w:rFonts w:ascii="仿宋_GB2312" w:hAnsi="仿宋_GB2312" w:cs="仿宋_GB2312" w:eastAsia="仿宋_GB2312"/>
                    </w:rPr>
                    <w:t>树龄700年，树高12m，胸径1.2m，平均冠幅14m；树冠呈不对称的</w:t>
                  </w:r>
                </w:p>
                <w:p>
                  <w:pPr>
                    <w:pStyle w:val="null3"/>
                  </w:pPr>
                  <w:r>
                    <w:rPr>
                      <w:rFonts w:ascii="仿宋_GB2312" w:hAnsi="仿宋_GB2312" w:cs="仿宋_GB2312" w:eastAsia="仿宋_GB2312"/>
                    </w:rPr>
                    <w:t>广卵形，整体开阔舒展，枝条向四周辐射伸展，西北侧分枝向外延伸，</w:t>
                  </w:r>
                </w:p>
                <w:p>
                  <w:pPr>
                    <w:pStyle w:val="null3"/>
                  </w:pPr>
                  <w:r>
                    <w:rPr>
                      <w:rFonts w:ascii="仿宋_GB2312" w:hAnsi="仿宋_GB2312" w:cs="仿宋_GB2312" w:eastAsia="仿宋_GB2312"/>
                    </w:rPr>
                    <w:t>东南侧受建筑空间限制，部分分枝被民居墙体建筑包裹，整体呈现“ 外扩内收”的姿态。主干在约3米处开始分叉，形成多个粗壮的主枝，随后进一步多级分枝，分枝角度大，枝条虬曲苍劲，部分枝条因长期生长呈现自然的弯曲与扭转，整体结构复杂而富有张力</w:t>
                  </w:r>
                </w:p>
              </w:tc>
              <w:tc>
                <w:tcPr>
                  <w:tcW w:type="dxa" w:w="511"/>
                  <w:vMerge w:val="restart"/>
                </w:tcPr>
                <w:p>
                  <w:pPr>
                    <w:pStyle w:val="null3"/>
                  </w:pPr>
                  <w:r>
                    <w:rPr>
                      <w:rFonts w:ascii="仿宋_GB2312" w:hAnsi="仿宋_GB2312" w:cs="仿宋_GB2312" w:eastAsia="仿宋_GB2312"/>
                    </w:rPr>
                    <w:t>树干防腐清腐，中空部位防渗修复；</w:t>
                  </w:r>
                </w:p>
                <w:p>
                  <w:pPr>
                    <w:pStyle w:val="null3"/>
                  </w:pPr>
                  <w:r>
                    <w:rPr>
                      <w:rFonts w:ascii="仿宋_GB2312" w:hAnsi="仿宋_GB2312" w:cs="仿宋_GB2312" w:eastAsia="仿宋_GB2312"/>
                    </w:rPr>
                    <w:t>钢支撑+拉纤固定倾斜主干，消除倒伏风险；</w:t>
                  </w:r>
                </w:p>
                <w:p>
                  <w:pPr>
                    <w:pStyle w:val="null3"/>
                  </w:pPr>
                  <w:r>
                    <w:rPr>
                      <w:rFonts w:ascii="仿宋_GB2312" w:hAnsi="仿宋_GB2312" w:cs="仿宋_GB2312" w:eastAsia="仿宋_GB2312"/>
                    </w:rPr>
                    <w:t>树盘整治：清理杂灌、开挖多余覆土，更换营养土，增设渗水井；</w:t>
                  </w:r>
                </w:p>
                <w:p>
                  <w:pPr>
                    <w:pStyle w:val="null3"/>
                  </w:pPr>
                  <w:r>
                    <w:rPr>
                      <w:rFonts w:ascii="仿宋_GB2312" w:hAnsi="仿宋_GB2312" w:cs="仿宋_GB2312" w:eastAsia="仿宋_GB2312"/>
                    </w:rPr>
                    <w:t>民宅台阶临时支护、地面破除后复原；</w:t>
                  </w:r>
                </w:p>
                <w:p>
                  <w:pPr>
                    <w:pStyle w:val="null3"/>
                  </w:pPr>
                  <w:r>
                    <w:rPr>
                      <w:rFonts w:ascii="仿宋_GB2312" w:hAnsi="仿宋_GB2312" w:cs="仿宋_GB2312" w:eastAsia="仿宋_GB2312"/>
                    </w:rPr>
                    <w:t>全套复壮措施：根部施肥、营养液、叶面肥；</w:t>
                  </w:r>
                </w:p>
                <w:p>
                  <w:pPr>
                    <w:pStyle w:val="null3"/>
                  </w:pPr>
                  <w:r>
                    <w:rPr>
                      <w:rFonts w:ascii="仿宋_GB2312" w:hAnsi="仿宋_GB2312" w:cs="仿宋_GB2312" w:eastAsia="仿宋_GB2312"/>
                    </w:rPr>
                    <w:t>高空修剪病枯枝，全年病虫害药剂防治；安装标识标牌、防护围栏</w:t>
                  </w: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位于向阳办毕家村村民门口旁，采光、通风条件良好，土壤为黄土，紧实度密，透气性差。</w:t>
                  </w:r>
                </w:p>
              </w:tc>
              <w:tc>
                <w:tcPr>
                  <w:tcW w:type="dxa" w:w="511"/>
                  <w:vMerge/>
                </w:tcP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 xml:space="preserve"> 树干东南侧呈开放式空腐贯穿至分支点处，树干有损伤，根系分布及活力一般。</w:t>
                  </w:r>
                </w:p>
              </w:tc>
              <w:tc>
                <w:tcPr>
                  <w:tcW w:type="dxa" w:w="511"/>
                  <w:vMerge/>
                </w:tcP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树体健康状况一般，病虫害及环境干扰评估差。无护栏无支架，保护现状一般。</w:t>
                  </w:r>
                </w:p>
              </w:tc>
              <w:tc>
                <w:tcPr>
                  <w:tcW w:type="dxa" w:w="511"/>
                  <w:vMerge/>
                </w:tcPr>
                <w:p/>
              </w:tc>
            </w:tr>
            <w:tr>
              <w:tc>
                <w:tcPr>
                  <w:tcW w:type="dxa" w:w="511"/>
                  <w:vMerge w:val="restart"/>
                </w:tcPr>
                <w:p>
                  <w:pPr>
                    <w:pStyle w:val="null3"/>
                  </w:pPr>
                  <w:r>
                    <w:rPr>
                      <w:rFonts w:ascii="仿宋_GB2312" w:hAnsi="仿宋_GB2312" w:cs="仿宋_GB2312" w:eastAsia="仿宋_GB2312"/>
                    </w:rPr>
                    <w:t>向阳办</w:t>
                  </w:r>
                </w:p>
                <w:p>
                  <w:pPr>
                    <w:pStyle w:val="null3"/>
                  </w:pPr>
                  <w:r>
                    <w:rPr>
                      <w:rFonts w:ascii="仿宋_GB2312" w:hAnsi="仿宋_GB2312" w:cs="仿宋_GB2312" w:eastAsia="仿宋_GB2312"/>
                    </w:rPr>
                    <w:t>樊家村</w:t>
                  </w:r>
                </w:p>
              </w:tc>
              <w:tc>
                <w:tcPr>
                  <w:tcW w:type="dxa" w:w="511"/>
                  <w:vMerge w:val="restart"/>
                </w:tcPr>
                <w:p>
                  <w:pPr>
                    <w:pStyle w:val="null3"/>
                  </w:pPr>
                  <w:r>
                    <w:rPr>
                      <w:rFonts w:ascii="仿宋_GB2312" w:hAnsi="仿宋_GB2312" w:cs="仿宋_GB2312" w:eastAsia="仿宋_GB2312"/>
                    </w:rPr>
                    <w:t>61050201060</w:t>
                  </w:r>
                </w:p>
              </w:tc>
              <w:tc>
                <w:tcPr>
                  <w:tcW w:type="dxa" w:w="511"/>
                  <w:vMerge w:val="restart"/>
                </w:tcPr>
                <w:p>
                  <w:pPr>
                    <w:pStyle w:val="null3"/>
                  </w:pPr>
                  <w:r>
                    <w:rPr>
                      <w:rFonts w:ascii="仿宋_GB2312" w:hAnsi="仿宋_GB2312" w:cs="仿宋_GB2312" w:eastAsia="仿宋_GB2312"/>
                    </w:rPr>
                    <w:t>国槐</w:t>
                  </w:r>
                </w:p>
              </w:tc>
              <w:tc>
                <w:tcPr>
                  <w:tcW w:type="dxa" w:w="511"/>
                </w:tcPr>
                <w:p>
                  <w:pPr>
                    <w:pStyle w:val="null3"/>
                  </w:pPr>
                  <w:r>
                    <w:rPr>
                      <w:rFonts w:ascii="仿宋_GB2312" w:hAnsi="仿宋_GB2312" w:cs="仿宋_GB2312" w:eastAsia="仿宋_GB2312"/>
                    </w:rPr>
                    <w:t>树龄550年，树高13m，胸径1.2m，平均冠12m；主干在约5米处开始分叉，形成多个分枝，分枝角度大，枝条虬曲苍劲，部分枝条因长期生长呈现自然的弯曲、扭转。枝条层次复杂，老枝与新枝交错分布，既有向高空伸展的直立枝，也有水平伸展的横枝，部分枝条因树势衰退出现枯梢，树冠呈不规则的广卵形，冠幅开阔舒展，结构上呈现“外疏内密、上枯下荣”的状态。</w:t>
                  </w:r>
                </w:p>
              </w:tc>
              <w:tc>
                <w:tcPr>
                  <w:tcW w:type="dxa" w:w="511"/>
                  <w:vMerge w:val="restart"/>
                </w:tcPr>
                <w:p>
                  <w:pPr>
                    <w:pStyle w:val="null3"/>
                  </w:pPr>
                  <w:r>
                    <w:rPr>
                      <w:rFonts w:ascii="仿宋_GB2312" w:hAnsi="仿宋_GB2312" w:cs="仿宋_GB2312" w:eastAsia="仿宋_GB2312"/>
                    </w:rPr>
                    <w:t>腐朽木质清理、防腐药剂全面涂抹；</w:t>
                  </w:r>
                </w:p>
                <w:p>
                  <w:pPr>
                    <w:pStyle w:val="null3"/>
                  </w:pPr>
                  <w:r>
                    <w:rPr>
                      <w:rFonts w:ascii="仿宋_GB2312" w:hAnsi="仿宋_GB2312" w:cs="仿宋_GB2312" w:eastAsia="仿宋_GB2312"/>
                    </w:rPr>
                    <w:t>拆除老旧拉纤，新增支撑、柔性拉纤加固树体；</w:t>
                  </w:r>
                </w:p>
                <w:p>
                  <w:pPr>
                    <w:pStyle w:val="null3"/>
                  </w:pPr>
                  <w:r>
                    <w:rPr>
                      <w:rFonts w:ascii="仿宋_GB2312" w:hAnsi="仿宋_GB2312" w:cs="仿宋_GB2312" w:eastAsia="仿宋_GB2312"/>
                    </w:rPr>
                    <w:t>地表清理、树盘平整，埋设透气管道，改良土壤；</w:t>
                  </w:r>
                </w:p>
                <w:p>
                  <w:pPr>
                    <w:pStyle w:val="null3"/>
                  </w:pPr>
                  <w:r>
                    <w:rPr>
                      <w:rFonts w:ascii="仿宋_GB2312" w:hAnsi="仿宋_GB2312" w:cs="仿宋_GB2312" w:eastAsia="仿宋_GB2312"/>
                    </w:rPr>
                    <w:t>树洞填充封堵，表层仿真装饰；</w:t>
                  </w:r>
                </w:p>
                <w:p>
                  <w:pPr>
                    <w:pStyle w:val="null3"/>
                  </w:pPr>
                  <w:r>
                    <w:rPr>
                      <w:rFonts w:ascii="仿宋_GB2312" w:hAnsi="仿宋_GB2312" w:cs="仿宋_GB2312" w:eastAsia="仿宋_GB2312"/>
                    </w:rPr>
                    <w:t>根部复壮、悬挂营养液、叶面肥喷施；</w:t>
                  </w:r>
                </w:p>
                <w:p>
                  <w:pPr>
                    <w:pStyle w:val="null3"/>
                  </w:pPr>
                  <w:r>
                    <w:rPr>
                      <w:rFonts w:ascii="仿宋_GB2312" w:hAnsi="仿宋_GB2312" w:cs="仿宋_GB2312" w:eastAsia="仿宋_GB2312"/>
                    </w:rPr>
                    <w:t>定期病虫消杀，修剪枯死枝条清运；制作安装古树保护宣传牌</w:t>
                  </w: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位于临渭区向阳办樊家村村民门口旁，东侧紧邻村民住宅，西侧为硬化村道与树之间存在一条硬化排水沟，南侧为入户硬化地面，北侧地面杂乱不堪，各种砖石、混凝土铺装。</w:t>
                  </w:r>
                </w:p>
              </w:tc>
              <w:tc>
                <w:tcPr>
                  <w:tcW w:type="dxa" w:w="511"/>
                  <w:vMerge/>
                </w:tcP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古树主干向东南侧倾斜延伸，倾斜程度逐年加剧，已压迫民宅入户门楼，村民为保护古树已拆除门楼顶部。西南侧一级分枝延伸过长至住户屋顶中段且中段及末端有大量枯死枝，主干西北侧呈开放式空腐，空洞高度约3m，残存木质部厚度15-30cm，南侧底部部分树皮脱 落，木质部裸露干腐；主干顶部北侧一级分枝树皮脱落木质部空腐裸 露延伸至分支点，除此之外树冠其余部位也存在大量枯死小枝</w:t>
                  </w:r>
                </w:p>
              </w:tc>
              <w:tc>
                <w:tcPr>
                  <w:tcW w:type="dxa" w:w="511"/>
                  <w:vMerge/>
                </w:tcP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古树主干存在虫孔，历年常有食叶害虫尺蠖、蚜虫存在，树干生长霉菌，古树受病虫害侵染严重。</w:t>
                  </w:r>
                </w:p>
              </w:tc>
              <w:tc>
                <w:tcPr>
                  <w:tcW w:type="dxa" w:w="511"/>
                  <w:vMerge/>
                </w:tcPr>
                <w:p/>
              </w:tc>
            </w:tr>
            <w:tr>
              <w:tc>
                <w:tcPr>
                  <w:tcW w:type="dxa" w:w="511"/>
                  <w:vMerge w:val="restart"/>
                </w:tcPr>
                <w:p>
                  <w:pPr>
                    <w:pStyle w:val="null3"/>
                  </w:pPr>
                  <w:r>
                    <w:rPr>
                      <w:rFonts w:ascii="仿宋_GB2312" w:hAnsi="仿宋_GB2312" w:cs="仿宋_GB2312" w:eastAsia="仿宋_GB2312"/>
                    </w:rPr>
                    <w:t>双王街办</w:t>
                  </w:r>
                </w:p>
                <w:p>
                  <w:pPr>
                    <w:pStyle w:val="null3"/>
                  </w:pPr>
                  <w:r>
                    <w:rPr>
                      <w:rFonts w:ascii="仿宋_GB2312" w:hAnsi="仿宋_GB2312" w:cs="仿宋_GB2312" w:eastAsia="仿宋_GB2312"/>
                    </w:rPr>
                    <w:t>宣化寺</w:t>
                  </w:r>
                </w:p>
              </w:tc>
              <w:tc>
                <w:tcPr>
                  <w:tcW w:type="dxa" w:w="511"/>
                  <w:vMerge w:val="restart"/>
                </w:tcPr>
                <w:p>
                  <w:pPr>
                    <w:pStyle w:val="null3"/>
                  </w:pPr>
                  <w:r>
                    <w:rPr>
                      <w:rFonts w:ascii="仿宋_GB2312" w:hAnsi="仿宋_GB2312" w:cs="仿宋_GB2312" w:eastAsia="仿宋_GB2312"/>
                    </w:rPr>
                    <w:t>61050209061</w:t>
                  </w:r>
                </w:p>
              </w:tc>
              <w:tc>
                <w:tcPr>
                  <w:tcW w:type="dxa" w:w="511"/>
                  <w:vMerge w:val="restart"/>
                </w:tcPr>
                <w:p>
                  <w:pPr>
                    <w:pStyle w:val="null3"/>
                  </w:pPr>
                  <w:r>
                    <w:rPr>
                      <w:rFonts w:ascii="仿宋_GB2312" w:hAnsi="仿宋_GB2312" w:cs="仿宋_GB2312" w:eastAsia="仿宋_GB2312"/>
                    </w:rPr>
                    <w:t>文冠树</w:t>
                  </w:r>
                </w:p>
              </w:tc>
              <w:tc>
                <w:tcPr>
                  <w:tcW w:type="dxa" w:w="511"/>
                </w:tcPr>
                <w:p>
                  <w:pPr>
                    <w:pStyle w:val="null3"/>
                  </w:pPr>
                  <w:r>
                    <w:rPr>
                      <w:rFonts w:ascii="仿宋_GB2312" w:hAnsi="仿宋_GB2312" w:cs="仿宋_GB2312" w:eastAsia="仿宋_GB2312"/>
                    </w:rPr>
                    <w:t>树冠呈不规则的广卵形，冠幅不算特别舒展，受周边建筑和生长环境限制，整体呈现 “中间高、两侧低”的形态，是长期环境胁迫下形成的非对称树冠。树冠呈现鲜明的“枯荣交织”状态，树冠中左部、下部的枝条萌发了大量鲜绿色新叶，叶片茂密，是主要的生长活力区，树冠右侧、上部存在大量光秃的枯枝，枝条完全无叶，甚至出现断裂、枯死的痕迹，部分枝条已失去生长能力。主干在较低位置开始分叉，形成多个主枝，分枝角度较大，枝条虬曲苍劲。枝条层次混乱，老枝与新枝交错分布，枯梢现象明显，上部枝条的生长活力远弱于下部，反映出顶端优势减弱、树势整体衰退的特征</w:t>
                  </w:r>
                </w:p>
              </w:tc>
              <w:tc>
                <w:tcPr>
                  <w:tcW w:type="dxa" w:w="511"/>
                  <w:vMerge w:val="restart"/>
                </w:tcPr>
                <w:p>
                  <w:pPr>
                    <w:pStyle w:val="null3"/>
                  </w:pPr>
                  <w:r>
                    <w:rPr>
                      <w:rFonts w:ascii="仿宋_GB2312" w:hAnsi="仿宋_GB2312" w:cs="仿宋_GB2312" w:eastAsia="仿宋_GB2312"/>
                    </w:rPr>
                    <w:t>局部树皮腐坏清理、防腐涂刷，小型树洞防渗修复；</w:t>
                  </w:r>
                </w:p>
                <w:p>
                  <w:pPr>
                    <w:pStyle w:val="null3"/>
                  </w:pPr>
                  <w:r>
                    <w:rPr>
                      <w:rFonts w:ascii="仿宋_GB2312" w:hAnsi="仿宋_GB2312" w:cs="仿宋_GB2312" w:eastAsia="仿宋_GB2312"/>
                    </w:rPr>
                    <w:t>树盘硬化地面局部破除，回填营养土；埋设环形回型透气管道，改良根系生长环境；修剪枯死病枝，药剂消杀虫害；悬挂营养液、叶面肥、根部复壮施肥；寺院园路破损处修复整平，安装1.2m仿木防护围栏、保护标牌</w:t>
                  </w: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位于临渭区宣化寺内，东北、东南侧为寺院围墙，西北、西南侧为砖砌树池，树池旁筑有石碑及铺砖小园路，据调查树池内在原有基础上新覆土高度约0.5m。</w:t>
                  </w:r>
                </w:p>
              </w:tc>
              <w:tc>
                <w:tcPr>
                  <w:tcW w:type="dxa" w:w="511"/>
                  <w:vMerge/>
                </w:tcP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古树主干向东南侧倾斜，内部空腐贯穿，北侧有侧向贯穿小洞，主干西侧底部树皮脱落，木质部干腐裸露；树冠大量分枝干枯死亡，整体长势较弱，古树主干存在虫孔，历年常有食叶害虫蚜虫存在，树体生长霉菌，古树受病虫害侵染严重。</w:t>
                  </w:r>
                </w:p>
              </w:tc>
              <w:tc>
                <w:tcPr>
                  <w:tcW w:type="dxa" w:w="511"/>
                  <w:vMerge/>
                </w:tcPr>
                <w:p/>
              </w:tc>
            </w:tr>
            <w:tr>
              <w:tc>
                <w:tcPr>
                  <w:tcW w:type="dxa" w:w="511"/>
                  <w:vMerge w:val="restart"/>
                </w:tcPr>
                <w:p>
                  <w:pPr>
                    <w:pStyle w:val="null3"/>
                  </w:pPr>
                  <w:r>
                    <w:rPr>
                      <w:rFonts w:ascii="仿宋_GB2312" w:hAnsi="仿宋_GB2312" w:cs="仿宋_GB2312" w:eastAsia="仿宋_GB2312"/>
                    </w:rPr>
                    <w:t>杜桥办</w:t>
                  </w:r>
                </w:p>
                <w:p>
                  <w:pPr>
                    <w:pStyle w:val="null3"/>
                  </w:pPr>
                  <w:r>
                    <w:rPr>
                      <w:rFonts w:ascii="仿宋_GB2312" w:hAnsi="仿宋_GB2312" w:cs="仿宋_GB2312" w:eastAsia="仿宋_GB2312"/>
                    </w:rPr>
                    <w:t>樊李村</w:t>
                  </w:r>
                </w:p>
              </w:tc>
              <w:tc>
                <w:tcPr>
                  <w:tcW w:type="dxa" w:w="511"/>
                  <w:vMerge w:val="restart"/>
                </w:tcPr>
                <w:p>
                  <w:pPr>
                    <w:pStyle w:val="null3"/>
                  </w:pPr>
                  <w:r>
                    <w:rPr>
                      <w:rFonts w:ascii="仿宋_GB2312" w:hAnsi="仿宋_GB2312" w:cs="仿宋_GB2312" w:eastAsia="仿宋_GB2312"/>
                    </w:rPr>
                    <w:t>61050214047</w:t>
                  </w:r>
                </w:p>
              </w:tc>
              <w:tc>
                <w:tcPr>
                  <w:tcW w:type="dxa" w:w="511"/>
                  <w:vMerge w:val="restart"/>
                </w:tcPr>
                <w:p>
                  <w:pPr>
                    <w:pStyle w:val="null3"/>
                  </w:pPr>
                  <w:r>
                    <w:rPr>
                      <w:rFonts w:ascii="仿宋_GB2312" w:hAnsi="仿宋_GB2312" w:cs="仿宋_GB2312" w:eastAsia="仿宋_GB2312"/>
                    </w:rPr>
                    <w:t>国槐</w:t>
                  </w:r>
                </w:p>
              </w:tc>
              <w:tc>
                <w:tcPr>
                  <w:tcW w:type="dxa" w:w="511"/>
                </w:tcPr>
                <w:p>
                  <w:pPr>
                    <w:pStyle w:val="null3"/>
                  </w:pPr>
                  <w:r>
                    <w:rPr>
                      <w:rFonts w:ascii="仿宋_GB2312" w:hAnsi="仿宋_GB2312" w:cs="仿宋_GB2312" w:eastAsia="仿宋_GB2312"/>
                    </w:rPr>
                    <w:t>树干从中部部向西南方向大幅弯曲，再向上挺拔生长，向上生长的主干在中上部开始分叉，形成多个粗壮的主枝，再向四周延伸出多级侧枝，分枝层次清晰。它的形态是长期适应狭窄巷道空间的结果，弯曲的主干避开了建筑，上部的树冠则向开阔的天空伸展，形成了不对称的伞状冠幅。</w:t>
                  </w:r>
                </w:p>
              </w:tc>
              <w:tc>
                <w:tcPr>
                  <w:tcW w:type="dxa" w:w="511"/>
                  <w:vMerge w:val="restart"/>
                </w:tcPr>
                <w:p>
                  <w:pPr>
                    <w:pStyle w:val="null3"/>
                  </w:pPr>
                  <w:r>
                    <w:rPr>
                      <w:rFonts w:ascii="仿宋_GB2312" w:hAnsi="仿宋_GB2312" w:cs="仿宋_GB2312" w:eastAsia="仿宋_GB2312"/>
                    </w:rPr>
                    <w:t>大面积清腐防腐，中空树洞整体加固封堵防渗；多组镀锌钢管支撑+多道钢缆拉纤，全方位稳固树体；破除硬质地面，外运垃圾渣土，更换营养土，配套透气装置；全套复壮养护：根部施肥、分批次营养液、叶面肥；全年2次病虫害防治，高空修剪所有枯死枝条；</w:t>
                  </w:r>
                </w:p>
                <w:p>
                  <w:pPr>
                    <w:pStyle w:val="null3"/>
                  </w:pPr>
                  <w:r>
                    <w:rPr>
                      <w:rFonts w:ascii="仿宋_GB2312" w:hAnsi="仿宋_GB2312" w:cs="仿宋_GB2312" w:eastAsia="仿宋_GB2312"/>
                    </w:rPr>
                    <w:t>定制安装防护围栏、古树信息标识牌</w:t>
                  </w: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 xml:space="preserve"> 位于临渭区樊李村李睿军院内，除东南侧为硬化地面外，其余侧均为房屋建筑，根部砌筑小树池面积不足0.5㎡</w:t>
                  </w:r>
                </w:p>
              </w:tc>
              <w:tc>
                <w:tcPr>
                  <w:tcW w:type="dxa" w:w="511"/>
                  <w:vMerge/>
                </w:tcP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树干从中部向西南方向大幅弯曲，再向上挺拔生长，东南侧一级分枝向外延伸过长，主干内已严重空腐贯穿至分支点并有多个侧向洞，树洞内村民自发填充发泡胶，但时间久远已开始风化脱落；西南侧底部分枝已干枯死亡，东南侧分枝末端有大量枯死枝，此外树冠顶部也存在大量枯死小枝。</w:t>
                  </w:r>
                </w:p>
              </w:tc>
              <w:tc>
                <w:tcPr>
                  <w:tcW w:type="dxa" w:w="511"/>
                  <w:vMerge/>
                </w:tcPr>
                <w:p/>
              </w:tc>
            </w:tr>
            <w:tr>
              <w:tc>
                <w:tcPr>
                  <w:tcW w:type="dxa" w:w="511"/>
                </w:tcPr>
                <w:p>
                  <w:pPr>
                    <w:pStyle w:val="null3"/>
                  </w:pPr>
                  <w:r>
                    <w:rPr>
                      <w:rFonts w:ascii="仿宋_GB2312" w:hAnsi="仿宋_GB2312" w:cs="仿宋_GB2312" w:eastAsia="仿宋_GB2312"/>
                    </w:rPr>
                    <w:t>杜桥办</w:t>
                  </w:r>
                </w:p>
                <w:p>
                  <w:pPr>
                    <w:pStyle w:val="null3"/>
                  </w:pPr>
                  <w:r>
                    <w:rPr>
                      <w:rFonts w:ascii="仿宋_GB2312" w:hAnsi="仿宋_GB2312" w:cs="仿宋_GB2312" w:eastAsia="仿宋_GB2312"/>
                    </w:rPr>
                    <w:t>五里铺村</w:t>
                  </w:r>
                </w:p>
              </w:tc>
              <w:tc>
                <w:tcPr>
                  <w:tcW w:type="dxa" w:w="511"/>
                </w:tcPr>
                <w:p>
                  <w:pPr>
                    <w:pStyle w:val="null3"/>
                  </w:pPr>
                  <w:r>
                    <w:rPr>
                      <w:rFonts w:ascii="仿宋_GB2312" w:hAnsi="仿宋_GB2312" w:cs="仿宋_GB2312" w:eastAsia="仿宋_GB2312"/>
                    </w:rPr>
                    <w:t>61050214048</w:t>
                  </w:r>
                </w:p>
              </w:tc>
              <w:tc>
                <w:tcPr>
                  <w:tcW w:type="dxa" w:w="511"/>
                </w:tcPr>
                <w:p>
                  <w:pPr>
                    <w:pStyle w:val="null3"/>
                  </w:pPr>
                  <w:r>
                    <w:rPr>
                      <w:rFonts w:ascii="仿宋_GB2312" w:hAnsi="仿宋_GB2312" w:cs="仿宋_GB2312" w:eastAsia="仿宋_GB2312"/>
                    </w:rPr>
                    <w:t>国槐</w:t>
                  </w:r>
                </w:p>
              </w:tc>
              <w:tc>
                <w:tcPr>
                  <w:tcW w:type="dxa" w:w="511"/>
                </w:tcPr>
                <w:p>
                  <w:pPr>
                    <w:pStyle w:val="null3"/>
                  </w:pPr>
                  <w:r>
                    <w:rPr>
                      <w:rFonts w:ascii="仿宋_GB2312" w:hAnsi="仿宋_GB2312" w:cs="仿宋_GB2312" w:eastAsia="仿宋_GB2312"/>
                    </w:rPr>
                    <w:t>树冠呈明显的 “上直下弯”不对称形态，是长期适应狭窄巷道的结果。主干从西侧建筑基部向左上方大幅伸展，在巷道上方形成天然的“树拱门”，上部树冠则向开阔的天空收拢，整体像一把撑开在巷子里的绿伞。向上生长的主干在中上部开始分叉，形成多个粗壮的主枝，再向四周延伸出多级侧枝，分枝层次清晰，老枝苍劲虬曲。树冠呈现鲜明的“枯荣交织”状态，上部枝条萌发鲜绿色新叶，弯曲主干的部分老枝叶片稀疏，甚至带有少量枯枝，这是古树活力不均的典型表现。</w:t>
                  </w:r>
                </w:p>
              </w:tc>
              <w:tc>
                <w:tcPr>
                  <w:tcW w:type="dxa" w:w="511"/>
                </w:tcPr>
                <w:p>
                  <w:pPr>
                    <w:pStyle w:val="null3"/>
                  </w:pPr>
                  <w:r>
                    <w:rPr>
                      <w:rFonts w:ascii="仿宋_GB2312" w:hAnsi="仿宋_GB2312" w:cs="仿宋_GB2312" w:eastAsia="仿宋_GB2312"/>
                    </w:rPr>
                    <w:t>虫洞、腐朽部位清理防腐，树洞仿真修复；钢支撑、拉纤矫正倾斜枝干；</w:t>
                  </w:r>
                </w:p>
                <w:p>
                  <w:pPr>
                    <w:pStyle w:val="null3"/>
                  </w:pPr>
                  <w:r>
                    <w:rPr>
                      <w:rFonts w:ascii="仿宋_GB2312" w:hAnsi="仿宋_GB2312" w:cs="仿宋_GB2312" w:eastAsia="仿宋_GB2312"/>
                    </w:rPr>
                    <w:t>地表杂物清理、树盘平整，改良土壤透气环境；根部复壮、营养液、叶面肥全套养护；定期药剂防治病虫害，修剪枯枝清运；</w:t>
                  </w:r>
                </w:p>
                <w:p>
                  <w:pPr>
                    <w:pStyle w:val="null3"/>
                  </w:pPr>
                  <w:r>
                    <w:rPr>
                      <w:rFonts w:ascii="仿宋_GB2312" w:hAnsi="仿宋_GB2312" w:cs="仿宋_GB2312" w:eastAsia="仿宋_GB2312"/>
                    </w:rPr>
                    <w:t>全新制作安装防护围栏、古树保护标牌</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1、供应商需派驻一名项目负责人对作业进度、服务质量、作业人员管理进行总协调，确保技术措施的落实，按时参加采购人组织的相关会议和活动，服从采购人的工作制度和工作规范。 2、供应商向采购人提供项目作业计划和安全责任协议等，其内容包括管理机构的设置、各主要岗位的技术和管理员名单、联系方式及各工种技术工人的安排、项目实施进度安排、技术措施等状况。 3、严格按照项目作业设计要求进行作业，作业前按项目要求筹备各项器械、材料、工具等，按技术规定进行作业。 4、协助采购人及时组织召开检查验收、效果评价和竣工验收工作会议。 5、供应商应按相关要求向采购人提交作业过程性资料和工作总结报告。 6、有各类突发事件的应急预案和措施，有明确具体的承诺。</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自合同签订之日起60日历天，养护期：项目验收合格后一年。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1、质量标准：达到国家及行业验收合格标准。 2、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实施方案执行、任务完成情况、施工作业质量、资金使用情况及项目成效、存在问题与建议等。 3、本项目由采购人及相关部门定期对项目进行阶段性验收。 4、验收标准：按磋商文件、磋商响应文件及澄清函、项目检查情况等综合指标进行验收。各项指标均应符合验收标准及要求。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进度款，完工后支付，达到付款条件起10个工作日内，支付合同总金额的30.0%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进度款，经最终验收合格后，达到付款条件起10个工作日内，支付合同总金额的30.0%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成交）供应商在中标（成交）结果公告发布后3个工作日内提供叁套纸质投标文件（经编标工具生成的文件直接打印并加盖公章），递交的纸质版文件内容确保与线上电子文件保持一致，不允许修改和补充。2、关于印发中小企业划型标准规定的通知（工信部联企业〔2011〕300号），中小企业划型标准规定：（一）农、林、牧、渔业。营业收入20000万元以下的为中小微型企业。其中，营业收入500万元及以上的为中型企业，营业收入50万元及以上的为小型企业，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营业执照等证明材料</w:t>
            </w:r>
          </w:p>
        </w:tc>
        <w:tc>
          <w:tcPr>
            <w:tcW w:type="dxa" w:w="3322"/>
          </w:tcPr>
          <w:p>
            <w:pPr>
              <w:pStyle w:val="null3"/>
            </w:pPr>
            <w:r>
              <w:rPr>
                <w:rFonts w:ascii="仿宋_GB2312" w:hAnsi="仿宋_GB2312" w:cs="仿宋_GB2312" w:eastAsia="仿宋_GB2312"/>
              </w:rPr>
              <w:t>供应商须提供合法有效，具有独立承担民事责任能力的证明资料；</w:t>
            </w:r>
          </w:p>
        </w:tc>
        <w:tc>
          <w:tcPr>
            <w:tcW w:type="dxa" w:w="1661"/>
          </w:tcPr>
          <w:p>
            <w:pPr>
              <w:pStyle w:val="null3"/>
            </w:pPr>
            <w:r>
              <w:rPr>
                <w:rFonts w:ascii="仿宋_GB2312" w:hAnsi="仿宋_GB2312" w:cs="仿宋_GB2312" w:eastAsia="仿宋_GB2312"/>
              </w:rPr>
              <w:t>资格证明文件.docx.pdf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（2）税收缴纳证明：提供响应文件递交截止时间前一年内任意一个月的缴费凭据；依法免税的应提供相关文件证明； （3）社会保障资金缴纳证明：提供响应文件递交截止时间前一年内任意一个月的社保缴费凭据或社保机构开具的社会保险参保缴费情况证明；依法不需要缴纳社会保障资金的供应商应提供相关文件证明；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①②③三项内容可根据本磋商文件格式要求出具承诺函。</w:t>
            </w:r>
          </w:p>
        </w:tc>
        <w:tc>
          <w:tcPr>
            <w:tcW w:type="dxa" w:w="1661"/>
          </w:tcPr>
          <w:p>
            <w:pPr>
              <w:pStyle w:val="null3"/>
            </w:pPr>
            <w:r>
              <w:rPr>
                <w:rFonts w:ascii="仿宋_GB2312" w:hAnsi="仿宋_GB2312" w:cs="仿宋_GB2312" w:eastAsia="仿宋_GB2312"/>
              </w:rPr>
              <w:t>资格证明文件.docx.pdf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本项目专门面向中小企业采购，所属行业：农、林、牧、渔业。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资格证明文件.docx.pdf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资格证明文件.docx.pdf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拟派项目负责人须具备林业或园林相关专业工程师以上（含工程师）资格；</w:t>
            </w:r>
          </w:p>
        </w:tc>
        <w:tc>
          <w:tcPr>
            <w:tcW w:type="dxa" w:w="1661"/>
          </w:tcPr>
          <w:p>
            <w:pPr>
              <w:pStyle w:val="null3"/>
            </w:pPr>
            <w:r>
              <w:rPr>
                <w:rFonts w:ascii="仿宋_GB2312" w:hAnsi="仿宋_GB2312" w:cs="仿宋_GB2312" w:eastAsia="仿宋_GB2312"/>
              </w:rPr>
              <w:t>资格证明文件.docx.pdf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投标人承诺书.docx.docx 资格证明文件.docx.pdf 分项报价表.docx.docx 中小企业声明函 商务应答表 服务内容及服务要求应答表 报价表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无其他做无效磋商处理的情况</w:t>
            </w:r>
          </w:p>
        </w:tc>
        <w:tc>
          <w:tcPr>
            <w:tcW w:type="dxa" w:w="1661"/>
          </w:tcPr>
          <w:p>
            <w:pPr>
              <w:pStyle w:val="null3"/>
            </w:pPr>
            <w:r>
              <w:rPr>
                <w:rFonts w:ascii="仿宋_GB2312" w:hAnsi="仿宋_GB2312" w:cs="仿宋_GB2312" w:eastAsia="仿宋_GB2312"/>
              </w:rPr>
              <w:t>投标人承诺书.docx.docx 资格证明文件.docx.pdf 分项报价表.docx.docx 中小企业声明函 商务应答表 服务内容及服务要求应答表 报价表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（一）评审内容：包括（1）整体服务方案； （2）服务安排； （3）服务流程设计。 （二）评审标准：（1）每项评审内容完整无缺陷得4分；未提供得0分； （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关键技术措施</w:t>
            </w:r>
          </w:p>
        </w:tc>
        <w:tc>
          <w:tcPr>
            <w:tcW w:type="dxa" w:w="2492"/>
          </w:tcPr>
          <w:p>
            <w:pPr>
              <w:pStyle w:val="null3"/>
            </w:pPr>
            <w:r>
              <w:rPr>
                <w:rFonts w:ascii="仿宋_GB2312" w:hAnsi="仿宋_GB2312" w:cs="仿宋_GB2312" w:eastAsia="仿宋_GB2312"/>
              </w:rPr>
              <w:t>（一）评审内容：包括（1）安全管理措施；（2）树体保护措施：（3）生境保护措施；（4）有害生物的防治措施。 （二）评审标准：（1）每项评审内容完整无缺陷得4分；未提供得0分； （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实施保障措施</w:t>
            </w:r>
          </w:p>
        </w:tc>
        <w:tc>
          <w:tcPr>
            <w:tcW w:type="dxa" w:w="2492"/>
          </w:tcPr>
          <w:p>
            <w:pPr>
              <w:pStyle w:val="null3"/>
            </w:pPr>
            <w:r>
              <w:rPr>
                <w:rFonts w:ascii="仿宋_GB2312" w:hAnsi="仿宋_GB2312" w:cs="仿宋_GB2312" w:eastAsia="仿宋_GB2312"/>
              </w:rPr>
              <w:t>（一）评审内容：包括（1）确保服务质量的组织措施； （2）养护机械、设备操作安全保障措施； （二）评审标准：（1）每项评审内容完整无缺陷得4分；未提供得0分； （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养护方案</w:t>
            </w:r>
          </w:p>
        </w:tc>
        <w:tc>
          <w:tcPr>
            <w:tcW w:type="dxa" w:w="2492"/>
          </w:tcPr>
          <w:p>
            <w:pPr>
              <w:pStyle w:val="null3"/>
            </w:pPr>
            <w:r>
              <w:rPr>
                <w:rFonts w:ascii="仿宋_GB2312" w:hAnsi="仿宋_GB2312" w:cs="仿宋_GB2312" w:eastAsia="仿宋_GB2312"/>
              </w:rPr>
              <w:t>（一）评审内容：（1）养护管理方案；（2）对自然灾害、病虫害爆发等突发情况的应急预案等。 （二）评审标准：（1）每项评审内容完整无缺陷得2分；未提供得0分； （2）每项评审内容每存在一处缺陷扣0.4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提供针对本项目符合要求的设施设备（附设备清单），每提供一个种类适配工具得2.5分，满分10分。 注：所有工具需提供正面照片、购买协议或发票，租赁的须提供租赁协议等相关证明文件，不提供不得分。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1.除项目负责人以外，每配备1名专职作业人员得1分，本项最高得5分； 2.除项目负责人以外，配备专职技术人员具备园林类或林业类中级及以上职业技能等级证书的，每人得3分，本项最高得15分。 注：须提供全部人员证书复印件并加盖公章，未提供不得分；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年（2023年8月1日至今）具有类似项目业绩，每提供1个业绩得2分，本项最高得10分。（业绩证明文件包括合同等证明资料，提供复印件加盖单位公章，时间以合同签订时间或相关证明资料生效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磋商报价</w:t>
            </w:r>
          </w:p>
        </w:tc>
        <w:tc>
          <w:tcPr>
            <w:tcW w:type="dxa" w:w="2492"/>
          </w:tcPr>
          <w:p>
            <w:pPr>
              <w:pStyle w:val="null3"/>
            </w:pPr>
            <w:r>
              <w:rPr>
                <w:rFonts w:ascii="仿宋_GB2312" w:hAnsi="仿宋_GB2312" w:cs="仿宋_GB2312" w:eastAsia="仿宋_GB2312"/>
              </w:rPr>
              <w:t>(1) 不高于最高限价，且经磋商小组评审不低于成本价的最终磋商报价为有效磋商报价。 (2) 满足竞争性磋商文件要求且磋商价格最低的最终磋商报价为磋商基准价，得满分20分； (3) 磋商报价得分=(磋商基准价／最终磋商报价)×20%×100。 备注：当磋商小组认为某个供应商的报价明显低于其他通过符合性审查供应商的报价，有可能影响项目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详见附件：分项报价表.docx.docx</w:t>
      </w:r>
    </w:p>
    <w:p>
      <w:pPr>
        <w:pStyle w:val="null3"/>
        <w:ind w:firstLine="960"/>
      </w:pPr>
      <w:r>
        <w:rPr>
          <w:rFonts w:ascii="仿宋_GB2312" w:hAnsi="仿宋_GB2312" w:cs="仿宋_GB2312" w:eastAsia="仿宋_GB2312"/>
        </w:rPr>
        <w:t>详见附件：投标人承诺书.docx.docx</w:t>
      </w:r>
    </w:p>
    <w:p>
      <w:pPr>
        <w:pStyle w:val="null3"/>
        <w:ind w:firstLine="960"/>
      </w:pPr>
      <w:r>
        <w:rPr>
          <w:rFonts w:ascii="仿宋_GB2312" w:hAnsi="仿宋_GB2312" w:cs="仿宋_GB2312" w:eastAsia="仿宋_GB2312"/>
        </w:rPr>
        <w:t>详见附件：资格证明文件.docx.pdf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详见附件：合同.docx临渭区2026年中央财政林业草原生态保护恢复资金古树名木保护项目.docx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