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12055">
      <w:pPr>
        <w:jc w:val="center"/>
        <w:rPr>
          <w:rFonts w:hint="eastAsia" w:ascii="宋体" w:hAnsi="宋体" w:eastAsia="宋体" w:cs="宋体"/>
          <w:spacing w:val="12"/>
          <w:sz w:val="24"/>
        </w:rPr>
      </w:pPr>
      <w:r>
        <w:rPr>
          <w:rFonts w:hint="eastAsia" w:ascii="宋体" w:hAnsi="宋体" w:eastAsia="宋体" w:cs="宋体"/>
          <w:spacing w:val="12"/>
          <w:sz w:val="24"/>
        </w:rPr>
        <w:t>注：本合同仅为合同的参考文本，合同签订双方可根据项目的具体要求进行修订。</w:t>
      </w:r>
    </w:p>
    <w:p w14:paraId="7D6FA9FF">
      <w:pPr>
        <w:spacing w:line="360" w:lineRule="auto"/>
        <w:jc w:val="center"/>
        <w:rPr>
          <w:rFonts w:ascii="宋体" w:hAnsi="宋体" w:cs="宋体"/>
          <w:spacing w:val="12"/>
        </w:rPr>
      </w:pPr>
    </w:p>
    <w:p w14:paraId="7C4A72BA">
      <w:pPr>
        <w:spacing w:line="360" w:lineRule="auto"/>
        <w:jc w:val="center"/>
        <w:rPr>
          <w:rFonts w:ascii="宋体" w:hAnsi="宋体" w:cs="宋体"/>
          <w:spacing w:val="12"/>
        </w:rPr>
      </w:pPr>
    </w:p>
    <w:p w14:paraId="5369EA12">
      <w:pPr>
        <w:pStyle w:val="8"/>
        <w:rPr>
          <w:rFonts w:cs="宋体"/>
        </w:rPr>
      </w:pPr>
    </w:p>
    <w:p w14:paraId="69078672">
      <w:pPr>
        <w:pStyle w:val="8"/>
        <w:ind w:firstLine="0"/>
        <w:rPr>
          <w:rFonts w:cs="宋体"/>
        </w:rPr>
      </w:pPr>
    </w:p>
    <w:p w14:paraId="7181FBBE">
      <w:pPr>
        <w:pStyle w:val="8"/>
        <w:rPr>
          <w:rFonts w:cs="宋体"/>
        </w:rPr>
      </w:pPr>
    </w:p>
    <w:p w14:paraId="14639C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44"/>
          <w:szCs w:val="44"/>
        </w:rPr>
      </w:pPr>
      <w:r>
        <w:rPr>
          <w:rFonts w:hint="eastAsia" w:ascii="宋体" w:hAnsi="宋体" w:eastAsia="宋体" w:cs="宋体"/>
          <w:b/>
          <w:bCs/>
          <w:color w:val="000000"/>
          <w:kern w:val="0"/>
          <w:sz w:val="44"/>
          <w:szCs w:val="44"/>
          <w:u w:val="none"/>
          <w:lang w:val="en-US" w:eastAsia="zh-CN" w:bidi="ar"/>
        </w:rPr>
        <w:t>临渭区2026年中央财政林业草原生态保护恢复资金古树名木保护项目</w:t>
      </w:r>
    </w:p>
    <w:p w14:paraId="6B9F3C49">
      <w:pPr>
        <w:pStyle w:val="5"/>
        <w:rPr>
          <w:rFonts w:ascii="宋体" w:hAnsi="宋体" w:eastAsia="宋体" w:cs="宋体"/>
        </w:rPr>
      </w:pPr>
    </w:p>
    <w:p w14:paraId="5C1E4867">
      <w:pPr>
        <w:pStyle w:val="5"/>
        <w:rPr>
          <w:rFonts w:ascii="宋体" w:hAnsi="宋体" w:eastAsia="宋体" w:cs="宋体"/>
        </w:rPr>
      </w:pPr>
    </w:p>
    <w:p w14:paraId="44173BE6">
      <w:pPr>
        <w:spacing w:line="360" w:lineRule="auto"/>
        <w:jc w:val="center"/>
        <w:rPr>
          <w:rFonts w:hint="eastAsia" w:ascii="宋体" w:hAnsi="宋体" w:cs="宋体"/>
          <w:b/>
          <w:bCs/>
          <w:spacing w:val="12"/>
          <w:sz w:val="44"/>
          <w:szCs w:val="44"/>
        </w:rPr>
      </w:pPr>
    </w:p>
    <w:p w14:paraId="07E5F554">
      <w:pPr>
        <w:spacing w:line="360" w:lineRule="auto"/>
        <w:jc w:val="center"/>
        <w:rPr>
          <w:rFonts w:ascii="宋体" w:hAnsi="宋体" w:cs="宋体"/>
          <w:b/>
          <w:bCs/>
          <w:spacing w:val="12"/>
          <w:sz w:val="44"/>
          <w:szCs w:val="44"/>
        </w:rPr>
      </w:pPr>
      <w:r>
        <w:rPr>
          <w:rFonts w:hint="eastAsia" w:ascii="宋体" w:hAnsi="宋体" w:cs="宋体"/>
          <w:b/>
          <w:bCs/>
          <w:spacing w:val="12"/>
          <w:sz w:val="44"/>
          <w:szCs w:val="44"/>
        </w:rPr>
        <w:t>政府采购合同书</w:t>
      </w:r>
    </w:p>
    <w:p w14:paraId="6ADAEA0D">
      <w:pPr>
        <w:spacing w:line="360" w:lineRule="auto"/>
        <w:jc w:val="center"/>
        <w:rPr>
          <w:rFonts w:ascii="宋体" w:hAnsi="宋体" w:cs="宋体"/>
          <w:spacing w:val="12"/>
          <w:sz w:val="32"/>
          <w:szCs w:val="32"/>
        </w:rPr>
      </w:pPr>
      <w:r>
        <w:rPr>
          <w:rFonts w:hint="eastAsia" w:ascii="宋体" w:hAnsi="宋体" w:cs="宋体"/>
          <w:spacing w:val="12"/>
          <w:sz w:val="32"/>
          <w:szCs w:val="32"/>
        </w:rPr>
        <w:t xml:space="preserve">                   </w:t>
      </w:r>
    </w:p>
    <w:p w14:paraId="2E5A873C">
      <w:pPr>
        <w:pStyle w:val="5"/>
        <w:rPr>
          <w:rFonts w:ascii="宋体" w:hAnsi="宋体" w:eastAsia="宋体" w:cs="宋体"/>
          <w:spacing w:val="12"/>
        </w:rPr>
      </w:pPr>
    </w:p>
    <w:p w14:paraId="30F44281">
      <w:pPr>
        <w:pStyle w:val="5"/>
        <w:rPr>
          <w:rFonts w:ascii="宋体" w:hAnsi="宋体" w:eastAsia="宋体" w:cs="宋体"/>
          <w:spacing w:val="12"/>
        </w:rPr>
      </w:pPr>
    </w:p>
    <w:p w14:paraId="48F1A270">
      <w:pPr>
        <w:pStyle w:val="5"/>
        <w:ind w:firstLine="0"/>
        <w:rPr>
          <w:rFonts w:hint="eastAsia" w:ascii="宋体" w:hAnsi="宋体" w:eastAsia="宋体" w:cs="宋体"/>
          <w:lang w:eastAsia="zh-CN"/>
        </w:rPr>
      </w:pPr>
    </w:p>
    <w:p w14:paraId="1751ED6C">
      <w:pPr>
        <w:pStyle w:val="5"/>
        <w:ind w:firstLine="0"/>
        <w:rPr>
          <w:rFonts w:ascii="宋体" w:hAnsi="宋体" w:eastAsia="宋体" w:cs="宋体"/>
        </w:rPr>
      </w:pPr>
    </w:p>
    <w:p w14:paraId="774AA307">
      <w:pPr>
        <w:pStyle w:val="5"/>
        <w:ind w:firstLine="0"/>
        <w:rPr>
          <w:rFonts w:ascii="宋体" w:hAnsi="宋体" w:eastAsia="宋体" w:cs="宋体"/>
        </w:rPr>
      </w:pPr>
    </w:p>
    <w:p w14:paraId="1AA5820D">
      <w:pPr>
        <w:rPr>
          <w:rFonts w:ascii="宋体" w:hAnsi="宋体" w:cs="宋体"/>
        </w:rPr>
      </w:pPr>
    </w:p>
    <w:p w14:paraId="4D49B64F">
      <w:pPr>
        <w:spacing w:line="360" w:lineRule="auto"/>
        <w:ind w:firstLine="2136" w:firstLineChars="700"/>
        <w:rPr>
          <w:rFonts w:hint="eastAsia" w:ascii="宋体" w:hAnsi="宋体" w:cs="宋体"/>
          <w:b/>
          <w:bCs/>
          <w:spacing w:val="12"/>
          <w:sz w:val="28"/>
          <w:szCs w:val="28"/>
        </w:rPr>
      </w:pPr>
    </w:p>
    <w:p w14:paraId="220DCC09">
      <w:pPr>
        <w:spacing w:line="360" w:lineRule="auto"/>
        <w:ind w:firstLine="2136" w:firstLineChars="700"/>
        <w:rPr>
          <w:rFonts w:ascii="宋体" w:hAnsi="宋体" w:cs="宋体"/>
          <w:b/>
          <w:bCs/>
          <w:spacing w:val="12"/>
          <w:sz w:val="28"/>
          <w:szCs w:val="28"/>
        </w:rPr>
      </w:pPr>
      <w:r>
        <w:rPr>
          <w:rFonts w:hint="eastAsia" w:ascii="宋体" w:hAnsi="宋体" w:cs="宋体"/>
          <w:b/>
          <w:bCs/>
          <w:spacing w:val="12"/>
          <w:sz w:val="28"/>
          <w:szCs w:val="28"/>
        </w:rPr>
        <w:t>采购人：渭南市临渭区林业局</w:t>
      </w:r>
    </w:p>
    <w:p w14:paraId="5FC85C3F">
      <w:pPr>
        <w:spacing w:line="360" w:lineRule="auto"/>
        <w:ind w:firstLine="2136" w:firstLineChars="700"/>
        <w:rPr>
          <w:rFonts w:ascii="宋体" w:hAnsi="宋体" w:cs="宋体"/>
          <w:b/>
          <w:bCs/>
          <w:spacing w:val="12"/>
          <w:sz w:val="28"/>
          <w:szCs w:val="28"/>
        </w:rPr>
      </w:pPr>
      <w:r>
        <w:rPr>
          <w:rFonts w:hint="eastAsia" w:ascii="宋体" w:hAnsi="宋体" w:cs="宋体"/>
          <w:b/>
          <w:bCs/>
          <w:spacing w:val="12"/>
          <w:sz w:val="28"/>
          <w:szCs w:val="28"/>
        </w:rPr>
        <w:t>供应商：</w:t>
      </w:r>
    </w:p>
    <w:p w14:paraId="5FC58CA6">
      <w:pPr>
        <w:pStyle w:val="6"/>
      </w:pPr>
    </w:p>
    <w:p w14:paraId="7F1B8640">
      <w:pPr>
        <w:spacing w:line="640" w:lineRule="exact"/>
        <w:rPr>
          <w:rFonts w:hint="eastAsia"/>
          <w:sz w:val="24"/>
        </w:rPr>
        <w:sectPr>
          <w:pgSz w:w="11906" w:h="16838"/>
          <w:pgMar w:top="1417" w:right="1417" w:bottom="1417" w:left="1417" w:header="851" w:footer="992" w:gutter="0"/>
          <w:cols w:space="425" w:num="1"/>
          <w:docGrid w:type="lines" w:linePitch="312" w:charSpace="0"/>
        </w:sectPr>
      </w:pPr>
    </w:p>
    <w:p w14:paraId="41937D0A">
      <w:pPr>
        <w:spacing w:line="640" w:lineRule="exact"/>
        <w:rPr>
          <w:sz w:val="24"/>
        </w:rPr>
      </w:pPr>
      <w:r>
        <w:rPr>
          <w:rFonts w:hint="eastAsia"/>
          <w:sz w:val="24"/>
        </w:rPr>
        <w:t>签订地点：</w:t>
      </w:r>
    </w:p>
    <w:p w14:paraId="46812C01">
      <w:pPr>
        <w:spacing w:line="640" w:lineRule="exact"/>
        <w:rPr>
          <w:sz w:val="24"/>
        </w:rPr>
      </w:pPr>
      <w:r>
        <w:rPr>
          <w:rFonts w:hint="eastAsia"/>
          <w:sz w:val="24"/>
        </w:rPr>
        <w:t>项目编号：</w:t>
      </w:r>
      <w:r>
        <w:rPr>
          <w:sz w:val="24"/>
        </w:rPr>
        <w:t xml:space="preserve">           </w:t>
      </w:r>
      <w:r>
        <w:rPr>
          <w:rFonts w:hint="eastAsia"/>
          <w:sz w:val="24"/>
          <w:lang w:val="en-US" w:eastAsia="zh-CN"/>
        </w:rPr>
        <w:t xml:space="preserve">                 </w:t>
      </w:r>
      <w:r>
        <w:rPr>
          <w:rFonts w:hint="eastAsia"/>
          <w:sz w:val="24"/>
        </w:rPr>
        <w:t xml:space="preserve">  </w:t>
      </w:r>
      <w:r>
        <w:rPr>
          <w:sz w:val="24"/>
        </w:rPr>
        <w:t xml:space="preserve"> </w:t>
      </w:r>
      <w:r>
        <w:rPr>
          <w:rFonts w:hint="eastAsia"/>
          <w:sz w:val="24"/>
        </w:rPr>
        <w:t xml:space="preserve">签订时间： </w:t>
      </w:r>
      <w:r>
        <w:rPr>
          <w:sz w:val="24"/>
        </w:rPr>
        <w:t xml:space="preserve">  </w:t>
      </w:r>
      <w:r>
        <w:rPr>
          <w:rFonts w:hint="eastAsia"/>
          <w:sz w:val="24"/>
        </w:rPr>
        <w:t>年   月  日</w:t>
      </w:r>
    </w:p>
    <w:p w14:paraId="243071F5">
      <w:pPr>
        <w:spacing w:line="640" w:lineRule="exact"/>
        <w:rPr>
          <w:sz w:val="24"/>
        </w:rPr>
      </w:pPr>
      <w:r>
        <w:rPr>
          <w:rFonts w:hint="eastAsia"/>
          <w:sz w:val="24"/>
        </w:rPr>
        <w:t>采购人：渭南市临渭区林业局</w:t>
      </w:r>
    </w:p>
    <w:p w14:paraId="15F0817A">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宋体"/>
          <w:sz w:val="24"/>
        </w:rPr>
      </w:pPr>
      <w:r>
        <w:rPr>
          <w:rFonts w:hint="eastAsia"/>
          <w:sz w:val="24"/>
        </w:rPr>
        <w:t>供应商：</w:t>
      </w:r>
    </w:p>
    <w:p w14:paraId="56365154">
      <w:pPr>
        <w:keepNext w:val="0"/>
        <w:keepLines w:val="0"/>
        <w:pageBreakBefore w:val="0"/>
        <w:widowControl w:val="0"/>
        <w:kinsoku/>
        <w:wordWrap/>
        <w:overflowPunct/>
        <w:topLinePunct w:val="0"/>
        <w:autoSpaceDE/>
        <w:autoSpaceDN/>
        <w:bidi w:val="0"/>
        <w:adjustRightInd/>
        <w:snapToGrid/>
        <w:spacing w:line="360" w:lineRule="auto"/>
        <w:ind w:left="239" w:leftChars="114" w:firstLine="549" w:firstLineChars="229"/>
        <w:textAlignment w:val="auto"/>
        <w:rPr>
          <w:rFonts w:ascii="宋体" w:hAnsi="宋体" w:cs="宋体"/>
          <w:sz w:val="24"/>
        </w:rPr>
      </w:pPr>
      <w:r>
        <w:rPr>
          <w:rFonts w:hint="eastAsia" w:ascii="宋体" w:hAnsi="宋体" w:cs="宋体"/>
          <w:sz w:val="24"/>
        </w:rPr>
        <w:t>根据</w:t>
      </w:r>
      <w:r>
        <w:rPr>
          <w:rFonts w:hint="eastAsia" w:ascii="宋体" w:hAnsi="宋体" w:eastAsia="宋体" w:cs="宋体"/>
          <w:b/>
          <w:bCs/>
          <w:color w:val="000000"/>
          <w:kern w:val="0"/>
          <w:sz w:val="24"/>
          <w:szCs w:val="24"/>
          <w:u w:val="single"/>
          <w:lang w:val="en-US" w:eastAsia="zh-CN" w:bidi="ar"/>
        </w:rPr>
        <w:t>临渭区2026年中央财政林业草原生态保护恢复资金古树名木保护项目</w:t>
      </w:r>
      <w:r>
        <w:rPr>
          <w:rFonts w:hint="eastAsia" w:ascii="宋体" w:hAnsi="宋体" w:cs="宋体"/>
          <w:sz w:val="24"/>
        </w:rPr>
        <w:t>的采购结果，按照《中华人民共和国政府采购法》、《中华人民共和国民法典》等规定，经双方协商，本着平等互利和诚实信用的原则，一致同意签订本合同如下。</w:t>
      </w:r>
    </w:p>
    <w:p w14:paraId="39900A9C">
      <w:pPr>
        <w:keepNext w:val="0"/>
        <w:keepLines w:val="0"/>
        <w:pageBreakBefore w:val="0"/>
        <w:kinsoku/>
        <w:wordWrap/>
        <w:overflowPunct/>
        <w:topLinePunct w:val="0"/>
        <w:bidi w:val="0"/>
        <w:spacing w:line="500" w:lineRule="exact"/>
        <w:ind w:firstLine="482" w:firstLineChars="200"/>
        <w:textAlignment w:val="auto"/>
        <w:rPr>
          <w:rFonts w:ascii="宋体" w:hAnsi="宋体" w:cs="宋体"/>
          <w:b/>
          <w:bCs/>
          <w:sz w:val="24"/>
        </w:rPr>
      </w:pPr>
      <w:r>
        <w:rPr>
          <w:rFonts w:hint="eastAsia" w:ascii="宋体" w:hAnsi="宋体" w:cs="宋体"/>
          <w:b/>
          <w:bCs/>
          <w:sz w:val="24"/>
        </w:rPr>
        <w:t>一、合同文件</w:t>
      </w:r>
    </w:p>
    <w:p w14:paraId="089AAD8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rPr>
        <w:t>1、协议书条款；</w:t>
      </w:r>
    </w:p>
    <w:p w14:paraId="09C0548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rPr>
        <w:t>2、竞争性磋商文件；</w:t>
      </w:r>
    </w:p>
    <w:p w14:paraId="7657840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rPr>
        <w:t>3、磋商响应文件；</w:t>
      </w:r>
    </w:p>
    <w:p w14:paraId="7226F8F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rPr>
        <w:t>4、成交通知书；</w:t>
      </w:r>
    </w:p>
    <w:p w14:paraId="4A02CEA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rPr>
        <w:t>5、其他。</w:t>
      </w:r>
    </w:p>
    <w:p w14:paraId="2D8E07D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ascii="宋体" w:hAnsi="宋体" w:cs="宋体"/>
          <w:sz w:val="24"/>
        </w:rPr>
        <w:t>上述所指合同文件应认为是互相补充和解释的，但是有模棱两可或互相矛盾之处，以其所列内容顺序为准。</w:t>
      </w:r>
    </w:p>
    <w:p w14:paraId="492284E6">
      <w:pPr>
        <w:keepNext w:val="0"/>
        <w:keepLines w:val="0"/>
        <w:pageBreakBefore w:val="0"/>
        <w:kinsoku/>
        <w:wordWrap/>
        <w:overflowPunct/>
        <w:topLinePunct w:val="0"/>
        <w:bidi w:val="0"/>
        <w:spacing w:line="500" w:lineRule="exact"/>
        <w:ind w:firstLine="482" w:firstLineChars="200"/>
        <w:textAlignment w:val="auto"/>
        <w:rPr>
          <w:rFonts w:ascii="宋体" w:hAnsi="宋体" w:cs="宋体"/>
          <w:b/>
          <w:bCs/>
          <w:sz w:val="24"/>
        </w:rPr>
      </w:pPr>
      <w:r>
        <w:rPr>
          <w:rFonts w:hint="eastAsia" w:ascii="宋体" w:hAnsi="宋体" w:cs="宋体"/>
          <w:b/>
          <w:bCs/>
          <w:kern w:val="0"/>
          <w:sz w:val="24"/>
          <w:szCs w:val="21"/>
        </w:rPr>
        <w:t>二、</w:t>
      </w:r>
      <w:r>
        <w:rPr>
          <w:rFonts w:hint="eastAsia" w:ascii="宋体" w:hAnsi="宋体" w:cs="宋体"/>
          <w:b/>
          <w:bCs/>
          <w:sz w:val="24"/>
        </w:rPr>
        <w:t>合同价款</w:t>
      </w:r>
    </w:p>
    <w:p w14:paraId="5B80B65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一</w:t>
      </w:r>
      <w:r>
        <w:rPr>
          <w:rFonts w:hint="eastAsia" w:ascii="宋体" w:hAnsi="宋体" w:cs="宋体"/>
          <w:sz w:val="24"/>
          <w:lang w:eastAsia="zh-CN"/>
        </w:rPr>
        <w:t>）</w:t>
      </w:r>
      <w:r>
        <w:rPr>
          <w:rFonts w:hint="eastAsia" w:ascii="宋体" w:hAnsi="宋体" w:cs="宋体"/>
          <w:sz w:val="24"/>
        </w:rPr>
        <w:t>合同总价款为</w:t>
      </w:r>
      <w:r>
        <w:rPr>
          <w:rFonts w:hint="eastAsia" w:ascii="宋体" w:hAnsi="宋体" w:cs="宋体"/>
          <w:b/>
          <w:bCs/>
          <w:sz w:val="24"/>
        </w:rPr>
        <w:t>人民币（大写）</w:t>
      </w:r>
      <w:r>
        <w:rPr>
          <w:rFonts w:hint="eastAsia" w:ascii="宋体" w:hAnsi="宋体" w:cs="宋体"/>
          <w:b/>
          <w:bCs/>
          <w:sz w:val="24"/>
          <w:u w:val="single"/>
          <w:lang w:val="en-US" w:eastAsia="zh-CN"/>
        </w:rPr>
        <w:t xml:space="preserve">      </w:t>
      </w:r>
      <w:r>
        <w:rPr>
          <w:rFonts w:hint="eastAsia" w:ascii="宋体" w:hAnsi="宋体" w:cs="宋体"/>
          <w:b/>
          <w:bCs/>
          <w:sz w:val="24"/>
        </w:rPr>
        <w:t>（￥</w:t>
      </w:r>
      <w:r>
        <w:rPr>
          <w:rFonts w:hint="eastAsia" w:ascii="宋体" w:hAnsi="宋体" w:cs="宋体"/>
          <w:b/>
          <w:bCs/>
          <w:sz w:val="24"/>
          <w:u w:val="single"/>
          <w:lang w:val="en-US" w:eastAsia="zh-CN"/>
        </w:rPr>
        <w:t xml:space="preserve">    </w:t>
      </w:r>
      <w:r>
        <w:rPr>
          <w:rFonts w:hint="eastAsia" w:ascii="宋体" w:hAnsi="宋体" w:cs="宋体"/>
          <w:b/>
          <w:bCs/>
          <w:sz w:val="24"/>
        </w:rPr>
        <w:t>元）。</w:t>
      </w:r>
    </w:p>
    <w:p w14:paraId="63B0D31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二</w:t>
      </w:r>
      <w:r>
        <w:rPr>
          <w:rFonts w:hint="eastAsia" w:ascii="宋体" w:hAnsi="宋体" w:cs="宋体"/>
          <w:sz w:val="24"/>
          <w:lang w:eastAsia="zh-CN"/>
        </w:rPr>
        <w:t>）</w:t>
      </w:r>
      <w:r>
        <w:rPr>
          <w:rFonts w:hint="eastAsia" w:ascii="宋体" w:hAnsi="宋体" w:cs="宋体"/>
          <w:sz w:val="24"/>
        </w:rPr>
        <w:t>合同总价款包括完成本次服务的养护期及磋商文件明示以及暗示的所有费用，服务期内采购人不再增加任何费用。</w:t>
      </w:r>
    </w:p>
    <w:p w14:paraId="57D987DF">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sz w:val="24"/>
        </w:rPr>
      </w:pPr>
      <w:r>
        <w:rPr>
          <w:rFonts w:hint="eastAsia" w:ascii="宋体" w:hAnsi="宋体" w:cs="宋体"/>
          <w:sz w:val="24"/>
          <w:lang w:eastAsia="zh-CN"/>
        </w:rPr>
        <w:t>（</w:t>
      </w:r>
      <w:r>
        <w:rPr>
          <w:rFonts w:hint="eastAsia" w:ascii="宋体" w:hAnsi="宋体" w:cs="宋体"/>
          <w:sz w:val="24"/>
          <w:lang w:val="en-US" w:eastAsia="zh-CN"/>
        </w:rPr>
        <w:t>三</w:t>
      </w:r>
      <w:r>
        <w:rPr>
          <w:rFonts w:hint="eastAsia" w:ascii="宋体" w:hAnsi="宋体" w:cs="宋体"/>
          <w:sz w:val="24"/>
          <w:lang w:eastAsia="zh-CN"/>
        </w:rPr>
        <w:t>）</w:t>
      </w:r>
      <w:r>
        <w:rPr>
          <w:rFonts w:hint="eastAsia" w:ascii="宋体" w:hAnsi="宋体" w:cs="宋体"/>
          <w:sz w:val="24"/>
        </w:rPr>
        <w:t>合同</w:t>
      </w:r>
      <w:r>
        <w:rPr>
          <w:rFonts w:hint="eastAsia"/>
          <w:sz w:val="24"/>
        </w:rPr>
        <w:t>总价一次性包死，不受市场价格变化因素的影响。</w:t>
      </w:r>
    </w:p>
    <w:p w14:paraId="1F589587">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eastAsia="宋体"/>
          <w:sz w:val="24"/>
          <w:highlight w:val="none"/>
          <w:lang w:eastAsia="zh-CN"/>
        </w:rPr>
      </w:pPr>
      <w:r>
        <w:rPr>
          <w:rFonts w:hint="eastAsia"/>
          <w:sz w:val="24"/>
        </w:rPr>
        <w:t>（</w:t>
      </w:r>
      <w:r>
        <w:rPr>
          <w:rFonts w:hint="eastAsia"/>
          <w:sz w:val="24"/>
          <w:lang w:val="en-US" w:eastAsia="zh-CN"/>
        </w:rPr>
        <w:t>四</w:t>
      </w:r>
      <w:r>
        <w:rPr>
          <w:rFonts w:hint="eastAsia"/>
          <w:sz w:val="24"/>
        </w:rPr>
        <w:t>）付款方式：</w:t>
      </w:r>
      <w:r>
        <w:rPr>
          <w:rFonts w:hint="eastAsia"/>
          <w:sz w:val="24"/>
          <w:highlight w:val="none"/>
        </w:rPr>
        <w:t>合同签订后付合同价款的40%，完工后支付合同价款的30%，经最终验收合格后付清剩余合同价款。</w:t>
      </w:r>
    </w:p>
    <w:p w14:paraId="50DD3BCA">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sz w:val="24"/>
        </w:rPr>
      </w:pPr>
      <w:r>
        <w:rPr>
          <w:rFonts w:hint="eastAsia"/>
          <w:sz w:val="24"/>
        </w:rPr>
        <w:t>（</w:t>
      </w:r>
      <w:r>
        <w:rPr>
          <w:rFonts w:hint="eastAsia"/>
          <w:sz w:val="24"/>
          <w:lang w:val="en-US" w:eastAsia="zh-CN"/>
        </w:rPr>
        <w:t>五</w:t>
      </w:r>
      <w:r>
        <w:rPr>
          <w:rFonts w:hint="eastAsia"/>
          <w:sz w:val="24"/>
        </w:rPr>
        <w:t>）支付方式：银行转账。</w:t>
      </w:r>
    </w:p>
    <w:p w14:paraId="6D31DCE5">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eastAsia="宋体"/>
          <w:sz w:val="24"/>
          <w:lang w:eastAsia="zh-CN"/>
        </w:rPr>
      </w:pPr>
      <w:r>
        <w:rPr>
          <w:rFonts w:hint="eastAsia"/>
          <w:sz w:val="24"/>
          <w:lang w:eastAsia="zh-CN"/>
        </w:rPr>
        <w:t>（</w:t>
      </w:r>
      <w:r>
        <w:rPr>
          <w:rFonts w:hint="eastAsia"/>
          <w:sz w:val="24"/>
          <w:lang w:val="en-US" w:eastAsia="zh-CN"/>
        </w:rPr>
        <w:t>六</w:t>
      </w:r>
      <w:r>
        <w:rPr>
          <w:rFonts w:hint="eastAsia"/>
          <w:sz w:val="24"/>
          <w:lang w:eastAsia="zh-CN"/>
        </w:rPr>
        <w:t>）</w:t>
      </w:r>
      <w:r>
        <w:rPr>
          <w:rFonts w:hint="eastAsia" w:ascii="宋体" w:hAnsi="宋体"/>
          <w:kern w:val="0"/>
          <w:sz w:val="24"/>
          <w:lang w:val="en-US" w:eastAsia="zh-CN"/>
        </w:rPr>
        <w:t>结算</w:t>
      </w:r>
      <w:r>
        <w:rPr>
          <w:rFonts w:hint="eastAsia" w:ascii="宋体" w:hAnsi="宋体"/>
          <w:kern w:val="0"/>
          <w:sz w:val="24"/>
        </w:rPr>
        <w:t>方式：由</w:t>
      </w:r>
      <w:r>
        <w:rPr>
          <w:rFonts w:hint="eastAsia" w:ascii="宋体" w:hAnsi="宋体"/>
          <w:kern w:val="0"/>
          <w:sz w:val="24"/>
          <w:lang w:val="en-US" w:eastAsia="zh-CN"/>
        </w:rPr>
        <w:t>采购人</w:t>
      </w:r>
      <w:r>
        <w:rPr>
          <w:rFonts w:hint="eastAsia" w:ascii="宋体" w:hAnsi="宋体"/>
          <w:kern w:val="0"/>
          <w:sz w:val="24"/>
        </w:rPr>
        <w:t>负责结算，合同签订后，</w:t>
      </w:r>
      <w:r>
        <w:rPr>
          <w:rFonts w:hint="eastAsia" w:ascii="宋体" w:hAnsi="宋体"/>
          <w:kern w:val="0"/>
          <w:sz w:val="24"/>
          <w:lang w:val="en-US" w:eastAsia="zh-CN"/>
        </w:rPr>
        <w:t>供应商</w:t>
      </w:r>
      <w:r>
        <w:rPr>
          <w:rFonts w:hint="eastAsia" w:ascii="宋体" w:hAnsi="宋体"/>
          <w:kern w:val="0"/>
          <w:sz w:val="24"/>
        </w:rPr>
        <w:t>在接受付款前，开具等额发票给</w:t>
      </w:r>
      <w:r>
        <w:rPr>
          <w:rFonts w:hint="eastAsia" w:ascii="宋体" w:hAnsi="宋体"/>
          <w:kern w:val="0"/>
          <w:sz w:val="24"/>
          <w:lang w:val="en-US" w:eastAsia="zh-CN"/>
        </w:rPr>
        <w:t>采购人</w:t>
      </w:r>
      <w:r>
        <w:rPr>
          <w:rFonts w:hint="eastAsia" w:ascii="宋体" w:hAnsi="宋体"/>
          <w:kern w:val="0"/>
          <w:sz w:val="24"/>
          <w:lang w:eastAsia="zh-CN"/>
        </w:rPr>
        <w:t>，</w:t>
      </w:r>
      <w:r>
        <w:rPr>
          <w:rFonts w:hint="eastAsia" w:ascii="宋体" w:hAnsi="宋体"/>
          <w:kern w:val="0"/>
          <w:sz w:val="24"/>
          <w:lang w:val="en-US" w:eastAsia="zh-CN"/>
        </w:rPr>
        <w:t>采购人给供应商进行银行转账。</w:t>
      </w:r>
    </w:p>
    <w:p w14:paraId="0CC3F444">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sz w:val="24"/>
        </w:rPr>
      </w:pPr>
      <w:r>
        <w:rPr>
          <w:rFonts w:hint="eastAsia"/>
          <w:sz w:val="24"/>
        </w:rPr>
        <w:t>（</w:t>
      </w:r>
      <w:r>
        <w:rPr>
          <w:rFonts w:hint="eastAsia"/>
          <w:sz w:val="24"/>
          <w:lang w:val="en-US" w:eastAsia="zh-CN"/>
        </w:rPr>
        <w:t>七</w:t>
      </w:r>
      <w:r>
        <w:rPr>
          <w:rFonts w:hint="eastAsia"/>
          <w:sz w:val="24"/>
        </w:rPr>
        <w:t>）供应商账户信息</w:t>
      </w:r>
    </w:p>
    <w:p w14:paraId="6A1EA1DC">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sz w:val="24"/>
        </w:rPr>
      </w:pPr>
      <w:r>
        <w:rPr>
          <w:rFonts w:hint="eastAsia"/>
          <w:sz w:val="24"/>
        </w:rPr>
        <w:t>开户银行：</w:t>
      </w:r>
    </w:p>
    <w:p w14:paraId="23FDD170">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cs="宋体"/>
          <w:b/>
          <w:bCs/>
          <w:kern w:val="0"/>
          <w:sz w:val="24"/>
          <w:szCs w:val="21"/>
        </w:rPr>
      </w:pPr>
      <w:r>
        <w:rPr>
          <w:rFonts w:hint="eastAsia"/>
          <w:sz w:val="24"/>
        </w:rPr>
        <w:t>银行账号：</w:t>
      </w:r>
    </w:p>
    <w:p w14:paraId="2EDE2C03">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2" w:firstLineChars="200"/>
        <w:jc w:val="left"/>
        <w:textAlignment w:val="auto"/>
        <w:rPr>
          <w:rFonts w:hint="eastAsia" w:ascii="宋体" w:hAnsi="宋体" w:cs="宋体"/>
          <w:b/>
          <w:bCs/>
          <w:kern w:val="0"/>
          <w:sz w:val="24"/>
          <w:szCs w:val="21"/>
        </w:rPr>
      </w:pPr>
      <w:r>
        <w:rPr>
          <w:rFonts w:hint="eastAsia" w:ascii="宋体" w:hAnsi="宋体" w:cs="宋体"/>
          <w:b/>
          <w:bCs/>
          <w:kern w:val="0"/>
          <w:sz w:val="24"/>
          <w:szCs w:val="21"/>
          <w:lang w:val="en-US" w:eastAsia="zh-CN"/>
        </w:rPr>
        <w:t>二、服务地点及</w:t>
      </w:r>
      <w:r>
        <w:rPr>
          <w:rFonts w:hint="eastAsia" w:ascii="宋体" w:hAnsi="宋体" w:cs="宋体"/>
          <w:b/>
          <w:bCs/>
          <w:kern w:val="0"/>
          <w:sz w:val="24"/>
          <w:szCs w:val="21"/>
        </w:rPr>
        <w:t>服务期：</w:t>
      </w:r>
    </w:p>
    <w:p w14:paraId="6508D14C">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default" w:ascii="宋体" w:hAnsi="宋体" w:eastAsia="宋体" w:cs="宋体"/>
          <w:b w:val="0"/>
          <w:bCs w:val="0"/>
          <w:kern w:val="0"/>
          <w:sz w:val="24"/>
          <w:szCs w:val="21"/>
          <w:lang w:val="en-US" w:eastAsia="zh-CN"/>
        </w:rPr>
      </w:pPr>
      <w:r>
        <w:rPr>
          <w:rFonts w:hint="eastAsia" w:ascii="宋体" w:hAnsi="宋体" w:cs="宋体"/>
          <w:b w:val="0"/>
          <w:bCs w:val="0"/>
          <w:kern w:val="0"/>
          <w:sz w:val="24"/>
          <w:szCs w:val="21"/>
          <w:lang w:val="en-US" w:eastAsia="zh-CN"/>
        </w:rPr>
        <w:t>（一）服务地点：渭南市临渭区</w:t>
      </w:r>
    </w:p>
    <w:p w14:paraId="4462A2FE">
      <w:pPr>
        <w:pStyle w:val="14"/>
        <w:keepNext w:val="0"/>
        <w:keepLines w:val="0"/>
        <w:pageBreakBefore w:val="0"/>
        <w:widowControl w:val="0"/>
        <w:kinsoku/>
        <w:wordWrap/>
        <w:overflowPunct/>
        <w:topLinePunct w:val="0"/>
        <w:bidi w:val="0"/>
        <w:spacing w:beforeAutospacing="0" w:afterAutospacing="0" w:line="500" w:lineRule="exact"/>
        <w:ind w:firstLine="480" w:firstLineChars="200"/>
        <w:textAlignment w:val="auto"/>
        <w:rPr>
          <w:szCs w:val="21"/>
        </w:rPr>
      </w:pPr>
      <w:r>
        <w:rPr>
          <w:rFonts w:hint="eastAsia"/>
          <w:sz w:val="24"/>
          <w:szCs w:val="32"/>
          <w:highlight w:val="none"/>
          <w:lang w:eastAsia="zh-CN"/>
        </w:rPr>
        <w:t>（</w:t>
      </w:r>
      <w:r>
        <w:rPr>
          <w:rFonts w:hint="eastAsia"/>
          <w:sz w:val="24"/>
          <w:szCs w:val="32"/>
          <w:highlight w:val="none"/>
          <w:lang w:val="en-US" w:eastAsia="zh-CN"/>
        </w:rPr>
        <w:t>二</w:t>
      </w:r>
      <w:r>
        <w:rPr>
          <w:rFonts w:hint="eastAsia"/>
          <w:sz w:val="24"/>
          <w:szCs w:val="32"/>
          <w:highlight w:val="none"/>
          <w:lang w:eastAsia="zh-CN"/>
        </w:rPr>
        <w:t>）</w:t>
      </w:r>
      <w:r>
        <w:rPr>
          <w:rFonts w:hint="eastAsia"/>
          <w:sz w:val="24"/>
          <w:szCs w:val="32"/>
          <w:highlight w:val="none"/>
        </w:rPr>
        <w:t>服务期：</w:t>
      </w:r>
      <w:r>
        <w:rPr>
          <w:rFonts w:hint="eastAsia"/>
          <w:sz w:val="24"/>
          <w:szCs w:val="32"/>
          <w:highlight w:val="none"/>
          <w:lang w:val="en-US" w:eastAsia="zh-CN"/>
        </w:rPr>
        <w:t xml:space="preserve"> </w:t>
      </w:r>
      <w:bookmarkStart w:id="2" w:name="_GoBack"/>
      <w:bookmarkEnd w:id="2"/>
    </w:p>
    <w:p w14:paraId="249B2655">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2" w:firstLineChars="200"/>
        <w:jc w:val="left"/>
        <w:textAlignment w:val="auto"/>
        <w:rPr>
          <w:rFonts w:hint="eastAsia" w:ascii="宋体" w:hAnsi="宋体" w:cs="宋体"/>
          <w:bCs/>
          <w:sz w:val="24"/>
        </w:rPr>
      </w:pPr>
      <w:bookmarkStart w:id="0" w:name="_Toc9090"/>
      <w:r>
        <w:rPr>
          <w:rFonts w:hint="eastAsia" w:ascii="宋体" w:hAnsi="宋体" w:cs="宋体"/>
          <w:b/>
          <w:kern w:val="0"/>
          <w:sz w:val="24"/>
          <w:szCs w:val="21"/>
          <w:lang w:val="en-US" w:eastAsia="zh-CN"/>
        </w:rPr>
        <w:t>三</w:t>
      </w:r>
      <w:r>
        <w:rPr>
          <w:rFonts w:hint="eastAsia" w:ascii="宋体" w:hAnsi="宋体" w:cs="宋体"/>
          <w:b/>
          <w:kern w:val="0"/>
          <w:sz w:val="24"/>
          <w:szCs w:val="21"/>
        </w:rPr>
        <w:t>、服务质量标准</w:t>
      </w:r>
    </w:p>
    <w:p w14:paraId="6C5D4B8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lang w:val="en-US" w:eastAsia="zh-CN" w:bidi="ar-SA"/>
        </w:rPr>
        <w:t>（一）</w:t>
      </w:r>
      <w:r>
        <w:rPr>
          <w:rFonts w:hint="eastAsia" w:ascii="宋体" w:hAnsi="宋体" w:eastAsia="宋体" w:cs="宋体"/>
          <w:color w:val="auto"/>
          <w:kern w:val="0"/>
          <w:sz w:val="24"/>
          <w:szCs w:val="21"/>
          <w:lang w:val="en-US" w:eastAsia="zh-CN" w:bidi="ar-SA"/>
        </w:rPr>
        <w:t>主要依据</w:t>
      </w:r>
    </w:p>
    <w:p w14:paraId="0AD970E7">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供应商在服务工作中必须使用下述标准、规范（不限于）：</w:t>
      </w:r>
    </w:p>
    <w:p w14:paraId="214C013C">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（1）《中华人民共和国森林法》（2019年修订）</w:t>
      </w:r>
    </w:p>
    <w:p w14:paraId="08A62569">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（2）《中华人民共和国环境保护法》（2014年修订）</w:t>
      </w:r>
    </w:p>
    <w:p w14:paraId="4F0D28EB">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（3）《中华人民共和国文物保护法》（2017年修订）</w:t>
      </w:r>
    </w:p>
    <w:p w14:paraId="1143A13A">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（4）《城市绿化条例》（国务院〔2017〕100号令）</w:t>
      </w:r>
    </w:p>
    <w:p w14:paraId="3B7227FD">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（5）《古树名木保护条例》（2025年3月15日）</w:t>
      </w:r>
    </w:p>
    <w:p w14:paraId="38E30C84">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（6）《陕西省古树名木保护条例）》（2019年7月31修正）</w:t>
      </w:r>
    </w:p>
    <w:p w14:paraId="1B103D73">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（7）《渭南市古树名木保护管理办法》（2023年11月14日修订）</w:t>
      </w:r>
    </w:p>
    <w:p w14:paraId="290B7495">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（8）《城市古树名木保护管理办法》（建城〔2000〕192号）</w:t>
      </w:r>
    </w:p>
    <w:p w14:paraId="47BE80B8">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（9）《古树名木防雷技术规范》（QX/T231-2014）</w:t>
      </w:r>
    </w:p>
    <w:p w14:paraId="25E810F4">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（10）《古树名木复壮技术规程》（LY/T2494-2015）</w:t>
      </w:r>
    </w:p>
    <w:p w14:paraId="6E31C35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二</w:t>
      </w:r>
      <w:r>
        <w:rPr>
          <w:rFonts w:hint="eastAsia" w:ascii="宋体" w:hAnsi="宋体" w:cs="宋体"/>
          <w:sz w:val="24"/>
          <w:lang w:eastAsia="zh-CN"/>
        </w:rPr>
        <w:t>）</w:t>
      </w:r>
      <w:r>
        <w:rPr>
          <w:rFonts w:hint="eastAsia" w:ascii="宋体" w:hAnsi="宋体" w:cs="宋体"/>
          <w:sz w:val="24"/>
        </w:rPr>
        <w:t>符合国家相关规范、规程和有关技术规定，符合合格标准。</w:t>
      </w:r>
    </w:p>
    <w:p w14:paraId="049757D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sz w:val="24"/>
        </w:rPr>
      </w:pPr>
      <w:r>
        <w:rPr>
          <w:rFonts w:hint="eastAsia" w:ascii="宋体" w:hAnsi="宋体" w:cs="宋体"/>
          <w:sz w:val="24"/>
          <w:lang w:eastAsia="zh-CN"/>
        </w:rPr>
        <w:t>（</w:t>
      </w:r>
      <w:r>
        <w:rPr>
          <w:rFonts w:hint="eastAsia" w:ascii="宋体" w:hAnsi="宋体" w:cs="宋体"/>
          <w:sz w:val="24"/>
          <w:lang w:val="en-US" w:eastAsia="zh-CN"/>
        </w:rPr>
        <w:t>三</w:t>
      </w:r>
      <w:r>
        <w:rPr>
          <w:rFonts w:hint="eastAsia" w:ascii="宋体" w:hAnsi="宋体" w:cs="宋体"/>
          <w:sz w:val="24"/>
          <w:lang w:eastAsia="zh-CN"/>
        </w:rPr>
        <w:t>）</w:t>
      </w:r>
      <w:r>
        <w:rPr>
          <w:rFonts w:hint="eastAsia" w:ascii="宋体" w:hAnsi="宋体" w:cs="宋体"/>
          <w:sz w:val="24"/>
        </w:rPr>
        <w:t>服务质量满足相关部门的规定。</w:t>
      </w:r>
      <w:bookmarkEnd w:id="0"/>
      <w:bookmarkStart w:id="1" w:name="_Toc5628"/>
    </w:p>
    <w:p w14:paraId="533E145E">
      <w:pPr>
        <w:keepNext w:val="0"/>
        <w:keepLines w:val="0"/>
        <w:pageBreakBefore w:val="0"/>
        <w:kinsoku/>
        <w:wordWrap/>
        <w:overflowPunct/>
        <w:topLinePunct w:val="0"/>
        <w:bidi w:val="0"/>
        <w:spacing w:line="500" w:lineRule="exact"/>
        <w:ind w:firstLine="482" w:firstLineChars="200"/>
        <w:textAlignment w:val="auto"/>
        <w:rPr>
          <w:rFonts w:hint="eastAsia" w:ascii="宋体" w:hAnsi="宋体" w:cs="宋体"/>
          <w:b/>
          <w:bCs/>
          <w:sz w:val="24"/>
          <w:lang w:val="en-US" w:eastAsia="zh-CN"/>
        </w:rPr>
      </w:pPr>
      <w:r>
        <w:rPr>
          <w:rFonts w:hint="eastAsia" w:ascii="宋体" w:hAnsi="宋体" w:cs="宋体"/>
          <w:b/>
          <w:bCs/>
          <w:sz w:val="24"/>
          <w:lang w:val="en-US" w:eastAsia="zh-CN"/>
        </w:rPr>
        <w:t>四、服务指标的具体要求</w:t>
      </w:r>
    </w:p>
    <w:p w14:paraId="4FEF17CE">
      <w:pPr>
        <w:numPr>
          <w:ilvl w:val="0"/>
          <w:numId w:val="0"/>
        </w:numPr>
        <w:spacing w:line="620" w:lineRule="exact"/>
        <w:ind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（一）土壤改良：</w:t>
      </w:r>
      <w:r>
        <w:rPr>
          <w:rFonts w:hint="eastAsia" w:ascii="宋体" w:hAnsi="宋体" w:eastAsia="宋体" w:cs="宋体"/>
          <w:bCs/>
          <w:color w:val="auto"/>
          <w:sz w:val="24"/>
          <w:szCs w:val="24"/>
          <w:highlight w:val="none"/>
          <w:lang w:val="en-US" w:eastAsia="zh-CN"/>
        </w:rPr>
        <w:t>根据土壤诊断情况制定改良方案，保护根系，改良区域应在多数吸收根系分布范围内，确保土壤因子之间达到适宜、协调、平衡、增效的作用。</w:t>
      </w:r>
    </w:p>
    <w:p w14:paraId="66AE8329">
      <w:pPr>
        <w:numPr>
          <w:ilvl w:val="0"/>
          <w:numId w:val="0"/>
        </w:numPr>
        <w:spacing w:line="620" w:lineRule="exact"/>
        <w:ind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（二）树体损伤处理：</w:t>
      </w:r>
      <w:r>
        <w:rPr>
          <w:rFonts w:hint="eastAsia" w:ascii="宋体" w:hAnsi="宋体" w:eastAsia="宋体" w:cs="宋体"/>
          <w:bCs/>
          <w:color w:val="auto"/>
          <w:sz w:val="24"/>
          <w:szCs w:val="24"/>
          <w:highlight w:val="none"/>
          <w:lang w:val="en-US" w:eastAsia="zh-CN"/>
        </w:rPr>
        <w:t>包括活组织和死组织处理，及时处理损伤的枝干，达到伤口愈合、功能恢复，预防腐烂、提高景观效果。</w:t>
      </w:r>
    </w:p>
    <w:p w14:paraId="18A051B2">
      <w:pPr>
        <w:numPr>
          <w:ilvl w:val="0"/>
          <w:numId w:val="0"/>
        </w:numPr>
        <w:spacing w:line="620" w:lineRule="exact"/>
        <w:ind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（三）树体加固：</w:t>
      </w:r>
      <w:r>
        <w:rPr>
          <w:rFonts w:hint="eastAsia" w:ascii="宋体" w:hAnsi="宋体" w:eastAsia="宋体" w:cs="宋体"/>
          <w:bCs/>
          <w:color w:val="auto"/>
          <w:sz w:val="24"/>
          <w:szCs w:val="24"/>
          <w:highlight w:val="none"/>
          <w:lang w:val="en-US" w:eastAsia="zh-CN"/>
        </w:rPr>
        <w:t>根据主干和主枝的情况制定加固方案，确保加固措施稳固、安全。</w:t>
      </w:r>
    </w:p>
    <w:p w14:paraId="3177BFBC">
      <w:pPr>
        <w:numPr>
          <w:ilvl w:val="0"/>
          <w:numId w:val="0"/>
        </w:numPr>
        <w:spacing w:line="620" w:lineRule="exact"/>
        <w:ind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（四）安全与监管：</w:t>
      </w:r>
      <w:r>
        <w:rPr>
          <w:rFonts w:hint="eastAsia" w:ascii="宋体" w:hAnsi="宋体" w:eastAsia="宋体" w:cs="宋体"/>
          <w:bCs/>
          <w:color w:val="auto"/>
          <w:sz w:val="24"/>
          <w:szCs w:val="24"/>
          <w:highlight w:val="none"/>
          <w:lang w:val="en-US" w:eastAsia="zh-CN"/>
        </w:rPr>
        <w:t>确保施工过程中的人、树安全，并使冠型与周围环境相协调。对施工后的古树进行定期检查和维护，及时发现并处理问题。</w:t>
      </w:r>
    </w:p>
    <w:p w14:paraId="3D279DF4">
      <w:pPr>
        <w:numPr>
          <w:ilvl w:val="0"/>
          <w:numId w:val="0"/>
        </w:numPr>
        <w:spacing w:line="620" w:lineRule="exact"/>
        <w:ind w:firstLine="482" w:firstLineChars="200"/>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（五）记录与评估：</w:t>
      </w:r>
      <w:r>
        <w:rPr>
          <w:rFonts w:hint="eastAsia" w:ascii="宋体" w:hAnsi="宋体" w:eastAsia="宋体" w:cs="宋体"/>
          <w:bCs/>
          <w:color w:val="auto"/>
          <w:sz w:val="24"/>
          <w:szCs w:val="24"/>
          <w:highlight w:val="none"/>
          <w:lang w:val="en-US" w:eastAsia="zh-CN"/>
        </w:rPr>
        <w:t>详细记录施工过程和后期监测数据，评估复壮效果，必要时调整养护和复壮措施。</w:t>
      </w:r>
    </w:p>
    <w:p w14:paraId="786F561A">
      <w:pPr>
        <w:keepNext w:val="0"/>
        <w:keepLines w:val="0"/>
        <w:widowControl/>
        <w:suppressLineNumbers w:val="0"/>
        <w:ind w:firstLine="482" w:firstLineChars="200"/>
        <w:jc w:val="left"/>
        <w:rPr>
          <w:rFonts w:hint="eastAsia" w:ascii="宋体" w:hAnsi="宋体" w:eastAsia="宋体" w:cs="宋体"/>
          <w:sz w:val="24"/>
          <w:szCs w:val="24"/>
          <w:lang w:val="en-US" w:eastAsia="zh-CN"/>
        </w:rPr>
      </w:pPr>
      <w:r>
        <w:rPr>
          <w:rFonts w:hint="eastAsia" w:ascii="宋体" w:hAnsi="宋体" w:eastAsia="宋体" w:cs="宋体"/>
          <w:b/>
          <w:bCs w:val="0"/>
          <w:color w:val="auto"/>
          <w:kern w:val="2"/>
          <w:sz w:val="24"/>
          <w:szCs w:val="24"/>
          <w:highlight w:val="none"/>
          <w:lang w:val="en-US" w:eastAsia="zh-CN" w:bidi="ar-SA"/>
        </w:rPr>
        <w:t>（六）</w:t>
      </w:r>
      <w:r>
        <w:rPr>
          <w:rFonts w:hint="eastAsia" w:ascii="宋体" w:hAnsi="宋体" w:eastAsia="宋体" w:cs="宋体"/>
          <w:b/>
          <w:bCs/>
          <w:color w:val="000000"/>
          <w:kern w:val="0"/>
          <w:sz w:val="24"/>
          <w:szCs w:val="24"/>
          <w:lang w:val="en-US" w:eastAsia="zh-CN" w:bidi="ar"/>
        </w:rPr>
        <w:t>临渭区2026年中央财政林业草原生态保护恢复资金古树名木保护项目工程量清单</w:t>
      </w:r>
    </w:p>
    <w:tbl>
      <w:tblPr>
        <w:tblStyle w:val="16"/>
        <w:tblW w:w="903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18"/>
        <w:gridCol w:w="3750"/>
        <w:gridCol w:w="2188"/>
        <w:gridCol w:w="1875"/>
      </w:tblGrid>
      <w:tr w14:paraId="1C30B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056B87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42E44A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3A79FB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合计数量</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BD2FF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r>
      <w:tr w14:paraId="29156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3111C3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42B196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伴生植物清理</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C7D3E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073AD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1447F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360C18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E8F15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地面杂物清理</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C7FC1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55998F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1267B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59ABB2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B3BC1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覆土开挖及平整</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12540A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24715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30F21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34AE44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BF3C5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病虫害防治</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39A757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F9D15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r>
      <w:tr w14:paraId="54092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146685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BF7CB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树干涂白</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8C25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01BA34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r>
      <w:tr w14:paraId="71A9E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665FFE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782522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原有拉杆拆除</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280AF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7816A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04BC2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7AEAF0E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52F227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拉纤</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8D16B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5CFFC0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3FDF6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685B00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7641D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埋设回型透气装置</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0AFB9E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5099A3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r>
      <w:tr w14:paraId="54EE8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6BB548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8DAEF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埋设透气装置</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A6B04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6AB11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44164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1481C1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C76BD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仿真支撑（160mm镀锌钢管）</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020700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31.5</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0DD5D5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r>
      <w:tr w14:paraId="52D06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F507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1D8A3A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树洞修补（小）</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EDB71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7DBFF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处</w:t>
            </w:r>
          </w:p>
        </w:tc>
      </w:tr>
      <w:tr w14:paraId="6F91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5533D6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8E41A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树洞修补骨架</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0ECB69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BEECD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742A7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14CF14D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4C4335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树洞封堵</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4701D8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E7AB4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091C8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1DF68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DC5DF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树洞表面装饰</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8752C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B2DE9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15319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F0080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7F01B4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宣传牌制作及安装</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BE629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5ECAE93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40F0E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6F8D3F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5E13FC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古树保护牌制作及安装</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D23FA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74ECC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16266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F9E7B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F2EAED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树身清腐</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488B02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0EED5C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18C1F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7E3151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BCF4C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树身防腐</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8056D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49669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57A3E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4AD61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EB1FB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树身消杀</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4E39DF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1B7FF5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105BE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1CA2643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E0A697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围栏安装（高度1.2m）</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DBA29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13.5</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0CFDAB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w:t>
            </w:r>
          </w:p>
        </w:tc>
      </w:tr>
      <w:tr w14:paraId="57740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52B0CF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0E3006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修剪枯死病枝</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78C330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CB928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5B449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7464EE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7BECD1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悬挂营养液</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EA447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96F46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袋</w:t>
            </w:r>
          </w:p>
        </w:tc>
      </w:tr>
      <w:tr w14:paraId="56115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EEFED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735F77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叶面肥</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57A5A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D3A3F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r>
      <w:tr w14:paraId="26D23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6478A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59A30F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根部复壮</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8D3D6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F8D8E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221D6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6F540B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032B2D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硬化地面破除</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3D2BF7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E3584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m²</w:t>
            </w:r>
          </w:p>
        </w:tc>
      </w:tr>
      <w:tr w14:paraId="4AD4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029A35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44846F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营养土换填</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79D663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388A45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m³</w:t>
            </w:r>
          </w:p>
        </w:tc>
      </w:tr>
      <w:tr w14:paraId="68B54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0DD8A1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028844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原有园路修复</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AB44E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4F2494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3ED97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79E05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47EC3D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原有树池填充清理</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0C6CF2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BBE35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处</w:t>
            </w:r>
          </w:p>
        </w:tc>
      </w:tr>
      <w:tr w14:paraId="19677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4AD9BF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12A091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支撑基础地面破除及恢复</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6E553C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03F665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61956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6B5D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514D80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民宅台阶、地面破除</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47E861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30D66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5A5ED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647C7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C3E15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民宅墙体临时支护</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2D63E7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164A5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603C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2BCFDD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657183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民宅台阶、地面恢复</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3009B5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709AA5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75A3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396CA0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321552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垃圾清运</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4B0375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2FA95E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m³</w:t>
            </w:r>
          </w:p>
        </w:tc>
      </w:tr>
      <w:tr w14:paraId="544F4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218" w:type="dxa"/>
            <w:tcBorders>
              <w:top w:val="single" w:color="000000" w:sz="4" w:space="0"/>
              <w:left w:val="single" w:color="000000" w:sz="4" w:space="0"/>
              <w:bottom w:val="single" w:color="000000" w:sz="4" w:space="0"/>
              <w:right w:val="single" w:color="000000" w:sz="4" w:space="0"/>
            </w:tcBorders>
            <w:noWrap/>
            <w:vAlign w:val="center"/>
          </w:tcPr>
          <w:p w14:paraId="384945E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750" w:type="dxa"/>
            <w:tcBorders>
              <w:top w:val="single" w:color="000000" w:sz="4" w:space="0"/>
              <w:left w:val="single" w:color="000000" w:sz="4" w:space="0"/>
              <w:bottom w:val="single" w:color="000000" w:sz="4" w:space="0"/>
              <w:right w:val="single" w:color="000000" w:sz="4" w:space="0"/>
            </w:tcBorders>
            <w:noWrap/>
            <w:vAlign w:val="center"/>
          </w:tcPr>
          <w:p w14:paraId="59026C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古树保护调查设计费</w:t>
            </w:r>
          </w:p>
        </w:tc>
        <w:tc>
          <w:tcPr>
            <w:tcW w:w="2188" w:type="dxa"/>
            <w:tcBorders>
              <w:top w:val="single" w:color="000000" w:sz="4" w:space="0"/>
              <w:left w:val="single" w:color="000000" w:sz="4" w:space="0"/>
              <w:bottom w:val="single" w:color="000000" w:sz="4" w:space="0"/>
              <w:right w:val="single" w:color="000000" w:sz="4" w:space="0"/>
            </w:tcBorders>
            <w:noWrap/>
            <w:vAlign w:val="center"/>
          </w:tcPr>
          <w:p w14:paraId="55FB82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875" w:type="dxa"/>
            <w:tcBorders>
              <w:top w:val="single" w:color="000000" w:sz="4" w:space="0"/>
              <w:left w:val="single" w:color="000000" w:sz="4" w:space="0"/>
              <w:bottom w:val="single" w:color="000000" w:sz="4" w:space="0"/>
              <w:right w:val="single" w:color="000000" w:sz="4" w:space="0"/>
            </w:tcBorders>
            <w:noWrap/>
            <w:vAlign w:val="center"/>
          </w:tcPr>
          <w:p w14:paraId="6CF61C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bl>
    <w:p w14:paraId="2174A7D4">
      <w:pPr>
        <w:keepNext w:val="0"/>
        <w:keepLines w:val="0"/>
        <w:widowControl/>
        <w:suppressLineNumbers w:val="0"/>
        <w:ind w:firstLine="482" w:firstLineChars="200"/>
        <w:jc w:val="left"/>
        <w:rPr>
          <w:rFonts w:hint="eastAsia" w:ascii="宋体" w:hAnsi="宋体" w:eastAsia="宋体" w:cs="宋体"/>
          <w:sz w:val="24"/>
          <w:szCs w:val="24"/>
          <w:highlight w:val="none"/>
        </w:rPr>
      </w:pPr>
      <w:r>
        <w:rPr>
          <w:rFonts w:hint="eastAsia" w:ascii="宋体" w:hAnsi="宋体" w:eastAsia="宋体" w:cs="宋体"/>
          <w:b/>
          <w:bCs/>
          <w:color w:val="auto"/>
          <w:kern w:val="0"/>
          <w:sz w:val="24"/>
          <w:szCs w:val="24"/>
          <w:highlight w:val="none"/>
          <w:lang w:val="en-US" w:eastAsia="zh-CN" w:bidi="ar"/>
        </w:rPr>
        <w:t>（七）</w:t>
      </w:r>
      <w:r>
        <w:rPr>
          <w:rFonts w:hint="eastAsia" w:ascii="宋体" w:hAnsi="宋体" w:eastAsia="宋体" w:cs="宋体"/>
          <w:b/>
          <w:bCs/>
          <w:color w:val="000000"/>
          <w:kern w:val="0"/>
          <w:sz w:val="24"/>
          <w:szCs w:val="24"/>
          <w:highlight w:val="none"/>
          <w:lang w:val="en-US" w:eastAsia="zh-CN" w:bidi="ar"/>
        </w:rPr>
        <w:t>临渭区2026年中央财政林业草原生态保护恢复资金古树名木保护项目“一树一策”表</w:t>
      </w:r>
    </w:p>
    <w:tbl>
      <w:tblPr>
        <w:tblStyle w:val="17"/>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777"/>
        <w:gridCol w:w="1005"/>
        <w:gridCol w:w="3345"/>
        <w:gridCol w:w="2037"/>
      </w:tblGrid>
      <w:tr w14:paraId="36695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978" w:type="dxa"/>
            <w:noWrap w:val="0"/>
            <w:vAlign w:val="center"/>
          </w:tcPr>
          <w:p w14:paraId="3FD7F65F">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color w:val="000000"/>
                <w:kern w:val="0"/>
                <w:sz w:val="24"/>
                <w:szCs w:val="24"/>
                <w:highlight w:val="none"/>
                <w:lang w:val="en-US" w:eastAsia="zh-CN" w:bidi="ar"/>
              </w:rPr>
              <w:t>所属区域</w:t>
            </w:r>
          </w:p>
        </w:tc>
        <w:tc>
          <w:tcPr>
            <w:tcW w:w="1777" w:type="dxa"/>
            <w:noWrap w:val="0"/>
            <w:vAlign w:val="center"/>
          </w:tcPr>
          <w:p w14:paraId="7FE5BFC4">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color w:val="000000"/>
                <w:kern w:val="0"/>
                <w:sz w:val="24"/>
                <w:szCs w:val="24"/>
                <w:highlight w:val="none"/>
                <w:lang w:val="en-US" w:eastAsia="zh-CN" w:bidi="ar"/>
              </w:rPr>
              <w:t>古树编号</w:t>
            </w:r>
          </w:p>
        </w:tc>
        <w:tc>
          <w:tcPr>
            <w:tcW w:w="1005" w:type="dxa"/>
            <w:noWrap w:val="0"/>
            <w:vAlign w:val="center"/>
          </w:tcPr>
          <w:p w14:paraId="61B1AB73">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color w:val="000000"/>
                <w:kern w:val="0"/>
                <w:sz w:val="24"/>
                <w:szCs w:val="24"/>
                <w:highlight w:val="none"/>
                <w:lang w:val="en-US" w:eastAsia="zh-CN" w:bidi="ar"/>
              </w:rPr>
              <w:t>树种</w:t>
            </w:r>
          </w:p>
        </w:tc>
        <w:tc>
          <w:tcPr>
            <w:tcW w:w="3345" w:type="dxa"/>
            <w:noWrap w:val="0"/>
            <w:vAlign w:val="center"/>
          </w:tcPr>
          <w:p w14:paraId="7F34D141">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color w:val="000000"/>
                <w:kern w:val="0"/>
                <w:sz w:val="24"/>
                <w:szCs w:val="24"/>
                <w:highlight w:val="none"/>
                <w:lang w:val="en-US" w:eastAsia="zh-CN" w:bidi="ar"/>
              </w:rPr>
              <w:t>古树现状</w:t>
            </w:r>
          </w:p>
        </w:tc>
        <w:tc>
          <w:tcPr>
            <w:tcW w:w="2037" w:type="dxa"/>
            <w:noWrap w:val="0"/>
            <w:vAlign w:val="center"/>
          </w:tcPr>
          <w:p w14:paraId="22FEF2CA">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b/>
                <w:bCs/>
                <w:color w:val="000000"/>
                <w:kern w:val="0"/>
                <w:sz w:val="24"/>
                <w:szCs w:val="24"/>
                <w:highlight w:val="none"/>
                <w:lang w:val="en-US" w:eastAsia="zh-CN" w:bidi="ar"/>
              </w:rPr>
              <w:t>保护措施</w:t>
            </w:r>
          </w:p>
        </w:tc>
      </w:tr>
      <w:tr w14:paraId="0228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noWrap w:val="0"/>
            <w:vAlign w:val="center"/>
          </w:tcPr>
          <w:p w14:paraId="657C259D">
            <w:pPr>
              <w:keepNext w:val="0"/>
              <w:keepLines w:val="0"/>
              <w:widowControl/>
              <w:suppressLineNumbers w:val="0"/>
              <w:snapToGrid w:val="0"/>
              <w:jc w:val="center"/>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丰原镇</w:t>
            </w:r>
          </w:p>
          <w:p w14:paraId="58A8E8B1">
            <w:pPr>
              <w:keepNext w:val="0"/>
              <w:keepLines w:val="0"/>
              <w:widowControl/>
              <w:suppressLineNumbers w:val="0"/>
              <w:snapToGrid w:val="0"/>
              <w:jc w:val="center"/>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b w:val="0"/>
                <w:bCs w:val="0"/>
                <w:color w:val="000000"/>
                <w:kern w:val="0"/>
                <w:sz w:val="24"/>
                <w:szCs w:val="24"/>
                <w:lang w:val="en-US" w:eastAsia="zh-CN" w:bidi="ar"/>
              </w:rPr>
              <w:t>胜利村</w:t>
            </w:r>
          </w:p>
        </w:tc>
        <w:tc>
          <w:tcPr>
            <w:tcW w:w="1777" w:type="dxa"/>
            <w:vMerge w:val="restart"/>
            <w:noWrap w:val="0"/>
            <w:vAlign w:val="center"/>
          </w:tcPr>
          <w:p w14:paraId="35FF38D9">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yellow"/>
                <w:vertAlign w:val="baseline"/>
                <w:lang w:val="en-US" w:eastAsia="zh-CN"/>
              </w:rPr>
            </w:pPr>
            <w:r>
              <w:rPr>
                <w:rFonts w:hint="eastAsia" w:ascii="宋体" w:hAnsi="宋体" w:eastAsia="宋体" w:cs="宋体"/>
                <w:b w:val="0"/>
                <w:bCs w:val="0"/>
                <w:color w:val="000000"/>
                <w:kern w:val="0"/>
                <w:sz w:val="24"/>
                <w:szCs w:val="24"/>
                <w:lang w:val="en-US" w:eastAsia="zh-CN" w:bidi="ar"/>
              </w:rPr>
              <w:t>61050203051</w:t>
            </w:r>
          </w:p>
        </w:tc>
        <w:tc>
          <w:tcPr>
            <w:tcW w:w="1005" w:type="dxa"/>
            <w:vMerge w:val="restart"/>
            <w:noWrap w:val="0"/>
            <w:vAlign w:val="center"/>
          </w:tcPr>
          <w:p w14:paraId="0BE05BC5">
            <w:pPr>
              <w:keepNext w:val="0"/>
              <w:keepLines w:val="0"/>
              <w:widowControl/>
              <w:suppressLineNumbers w:val="0"/>
              <w:snapToGrid w:val="0"/>
              <w:jc w:val="center"/>
              <w:rPr>
                <w:rFonts w:hint="eastAsia" w:ascii="宋体" w:hAnsi="宋体" w:eastAsia="宋体" w:cs="宋体"/>
                <w:b w:val="0"/>
                <w:bCs w:val="0"/>
                <w:sz w:val="24"/>
                <w:szCs w:val="24"/>
                <w:highlight w:val="yellow"/>
                <w:vertAlign w:val="baseline"/>
                <w:lang w:val="en-US" w:eastAsia="zh-CN"/>
              </w:rPr>
            </w:pPr>
            <w:r>
              <w:rPr>
                <w:rFonts w:hint="eastAsia" w:ascii="宋体" w:hAnsi="宋体" w:eastAsia="宋体" w:cs="宋体"/>
                <w:b w:val="0"/>
                <w:bCs w:val="0"/>
                <w:color w:val="000000"/>
                <w:kern w:val="0"/>
                <w:sz w:val="24"/>
                <w:szCs w:val="24"/>
                <w:lang w:val="en-US" w:eastAsia="zh-CN" w:bidi="ar"/>
              </w:rPr>
              <w:t>国槐</w:t>
            </w:r>
          </w:p>
        </w:tc>
        <w:tc>
          <w:tcPr>
            <w:tcW w:w="3345" w:type="dxa"/>
            <w:noWrap w:val="0"/>
            <w:vAlign w:val="center"/>
          </w:tcPr>
          <w:p w14:paraId="71D9E160">
            <w:pPr>
              <w:keepNext w:val="0"/>
              <w:keepLines w:val="0"/>
              <w:widowControl/>
              <w:suppressLineNumbers w:val="0"/>
              <w:jc w:val="left"/>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color w:val="000000"/>
                <w:kern w:val="0"/>
                <w:sz w:val="24"/>
                <w:szCs w:val="24"/>
                <w:lang w:val="en-US" w:eastAsia="zh-CN" w:bidi="ar"/>
              </w:rPr>
              <w:t>树体高大，主干 在约2.5米处开始分叉，形成两大一级分枝，随后进一步多级分枝，主 枝粗壮、扭曲延伸，侧枝细密交错，整体树冠呈不规则的阔卵形</w:t>
            </w:r>
          </w:p>
        </w:tc>
        <w:tc>
          <w:tcPr>
            <w:tcW w:w="2037" w:type="dxa"/>
            <w:vMerge w:val="restart"/>
            <w:noWrap w:val="0"/>
            <w:vAlign w:val="center"/>
          </w:tcPr>
          <w:p w14:paraId="7E586A0A">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p>
          <w:p w14:paraId="7542EBA6">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p>
          <w:p w14:paraId="18AB043A">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p>
          <w:p w14:paraId="22D9D29A">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p>
          <w:p w14:paraId="12992C92">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清腐防腐：树身腐朽部位全面清理，分层涂刷防腐药剂；</w:t>
            </w:r>
          </w:p>
          <w:p w14:paraId="7C507B0F">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结构加固：镀锌钢管支撑+钢缆牵拉固定倾斜枝干；</w:t>
            </w:r>
          </w:p>
          <w:p w14:paraId="178758B9">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地面改造：破除硬化地面，外运建筑垃圾，回填营养土，埋设透气装置；</w:t>
            </w:r>
          </w:p>
          <w:p w14:paraId="6496A2F3">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树洞防渗修复：钢筋骨架+环保填充材料封堵，表层仿真调色；</w:t>
            </w:r>
          </w:p>
          <w:p w14:paraId="11C73B8A">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复壮养护：根部复壮施肥、悬挂营养液、叶面肥喷施；</w:t>
            </w:r>
          </w:p>
          <w:p w14:paraId="42DFF62D">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病虫治理：药剂喷雾消杀，修剪全部枯死枝条清运；</w:t>
            </w:r>
          </w:p>
          <w:p w14:paraId="166FA20B">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highlight w:val="yellow"/>
                <w:vertAlign w:val="baseline"/>
                <w:lang w:val="en-US" w:eastAsia="zh-CN"/>
              </w:rPr>
            </w:pPr>
            <w:r>
              <w:rPr>
                <w:rFonts w:hint="eastAsia" w:ascii="宋体" w:hAnsi="宋体" w:eastAsia="宋体" w:cs="宋体"/>
                <w:b w:val="0"/>
                <w:bCs w:val="0"/>
                <w:sz w:val="24"/>
                <w:szCs w:val="24"/>
              </w:rPr>
              <w:t>配套设施：定制安装古树保护牌、外围防护围栏</w:t>
            </w:r>
          </w:p>
        </w:tc>
      </w:tr>
      <w:tr w14:paraId="2540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noWrap w:val="0"/>
            <w:vAlign w:val="center"/>
          </w:tcPr>
          <w:p w14:paraId="3002A96F">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777" w:type="dxa"/>
            <w:vMerge w:val="continue"/>
            <w:noWrap w:val="0"/>
            <w:vAlign w:val="center"/>
          </w:tcPr>
          <w:p w14:paraId="352CF1FD">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005" w:type="dxa"/>
            <w:vMerge w:val="continue"/>
            <w:noWrap w:val="0"/>
            <w:vAlign w:val="center"/>
          </w:tcPr>
          <w:p w14:paraId="06D60F21">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3345" w:type="dxa"/>
            <w:noWrap w:val="0"/>
            <w:vAlign w:val="center"/>
          </w:tcPr>
          <w:p w14:paraId="1C1EEA66">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位于临渭区丰原镇胜利村村民宅基地西北角处，北侧为硬化村道， 西侧为住宅建筑，南侧、东侧为荒废宅基地，且周围堆放大量建筑建 筑垃圾及枯枝腐木，树基周围直径约5m，原生长地面以上有0.4-0.7m 垃圾土堆填。</w:t>
            </w:r>
          </w:p>
          <w:p w14:paraId="1B819F5B">
            <w:pPr>
              <w:keepNext w:val="0"/>
              <w:keepLines w:val="0"/>
              <w:widowControl/>
              <w:suppressLineNumbers w:val="0"/>
              <w:jc w:val="left"/>
              <w:rPr>
                <w:rFonts w:hint="eastAsia" w:ascii="宋体" w:hAnsi="宋体" w:eastAsia="宋体" w:cs="宋体"/>
                <w:color w:val="000000"/>
                <w:kern w:val="0"/>
                <w:sz w:val="24"/>
                <w:szCs w:val="24"/>
                <w:highlight w:val="yellow"/>
                <w:lang w:val="en-US" w:eastAsia="zh-CN" w:bidi="ar"/>
              </w:rPr>
            </w:pPr>
          </w:p>
        </w:tc>
        <w:tc>
          <w:tcPr>
            <w:tcW w:w="2037" w:type="dxa"/>
            <w:vMerge w:val="continue"/>
            <w:noWrap w:val="0"/>
            <w:vAlign w:val="center"/>
          </w:tcPr>
          <w:p w14:paraId="3423CDB8">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yellow"/>
                <w:lang w:val="en-US" w:eastAsia="zh-CN" w:bidi="ar"/>
              </w:rPr>
            </w:pPr>
          </w:p>
        </w:tc>
      </w:tr>
      <w:tr w14:paraId="6211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noWrap w:val="0"/>
            <w:vAlign w:val="center"/>
          </w:tcPr>
          <w:p w14:paraId="05504640">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1777" w:type="dxa"/>
            <w:vMerge w:val="continue"/>
            <w:noWrap w:val="0"/>
            <w:vAlign w:val="center"/>
          </w:tcPr>
          <w:p w14:paraId="1AB522A2">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1005" w:type="dxa"/>
            <w:vMerge w:val="continue"/>
            <w:noWrap w:val="0"/>
            <w:vAlign w:val="center"/>
          </w:tcPr>
          <w:p w14:paraId="6FA236B1">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3345" w:type="dxa"/>
            <w:noWrap w:val="0"/>
            <w:vAlign w:val="center"/>
          </w:tcPr>
          <w:p w14:paraId="1A89094E">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古树东侧、南侧有共计4株高度约8m刺槐伴生，地面大量杂草及 少量杂灌生长，采光及通风相对良好。 古树主干在约2.5米处开始分叉，形成两大一级分枝，西侧一级分枝直径0.6m，东南侧一级分枝直径0.7m；西侧一级分枝沿分支点向上1米处存在一朝天小洞，洞深约1m，洞内木质部已干腐，腐烂深度约3cm；东南侧一级分枝有多处小树洞及蛀干虫洞，其南侧二级分枝末端存在大量枯死病枝，树冠其余部位也存在部分枯死小枝。</w:t>
            </w:r>
          </w:p>
          <w:p w14:paraId="045EB4CA">
            <w:pPr>
              <w:keepNext w:val="0"/>
              <w:keepLines w:val="0"/>
              <w:widowControl/>
              <w:suppressLineNumbers w:val="0"/>
              <w:jc w:val="left"/>
              <w:rPr>
                <w:rFonts w:hint="eastAsia" w:ascii="宋体" w:hAnsi="宋体" w:eastAsia="宋体" w:cs="宋体"/>
                <w:color w:val="000000"/>
                <w:kern w:val="0"/>
                <w:sz w:val="24"/>
                <w:szCs w:val="24"/>
                <w:highlight w:val="yellow"/>
                <w:lang w:val="en-US" w:eastAsia="zh-CN" w:bidi="ar"/>
              </w:rPr>
            </w:pPr>
          </w:p>
        </w:tc>
        <w:tc>
          <w:tcPr>
            <w:tcW w:w="2037" w:type="dxa"/>
            <w:vMerge w:val="continue"/>
            <w:noWrap w:val="0"/>
            <w:vAlign w:val="center"/>
          </w:tcPr>
          <w:p w14:paraId="0D5D59F5">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yellow"/>
                <w:lang w:val="en-US" w:eastAsia="zh-CN" w:bidi="ar"/>
              </w:rPr>
            </w:pPr>
          </w:p>
        </w:tc>
      </w:tr>
      <w:tr w14:paraId="1935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jc w:val="center"/>
        </w:trPr>
        <w:tc>
          <w:tcPr>
            <w:tcW w:w="978" w:type="dxa"/>
            <w:vMerge w:val="continue"/>
            <w:noWrap w:val="0"/>
            <w:vAlign w:val="center"/>
          </w:tcPr>
          <w:p w14:paraId="4A5B99D2">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1777" w:type="dxa"/>
            <w:vMerge w:val="continue"/>
            <w:noWrap w:val="0"/>
            <w:vAlign w:val="center"/>
          </w:tcPr>
          <w:p w14:paraId="2F8F7BF6">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1005" w:type="dxa"/>
            <w:vMerge w:val="continue"/>
            <w:noWrap w:val="0"/>
            <w:vAlign w:val="center"/>
          </w:tcPr>
          <w:p w14:paraId="60C67B63">
            <w:pPr>
              <w:keepNext w:val="0"/>
              <w:keepLines w:val="0"/>
              <w:widowControl/>
              <w:suppressLineNumbers w:val="0"/>
              <w:snapToGrid w:val="0"/>
              <w:ind w:left="0" w:leftChars="0" w:right="0" w:rightChars="0" w:firstLine="0" w:firstLineChars="0"/>
              <w:jc w:val="center"/>
              <w:rPr>
                <w:rFonts w:hint="eastAsia" w:ascii="宋体" w:hAnsi="宋体" w:eastAsia="宋体" w:cs="宋体"/>
                <w:color w:val="000000"/>
                <w:kern w:val="0"/>
                <w:sz w:val="24"/>
                <w:szCs w:val="24"/>
                <w:highlight w:val="yellow"/>
                <w:lang w:val="en-US" w:eastAsia="zh-CN" w:bidi="ar"/>
              </w:rPr>
            </w:pPr>
          </w:p>
        </w:tc>
        <w:tc>
          <w:tcPr>
            <w:tcW w:w="3345" w:type="dxa"/>
            <w:noWrap w:val="0"/>
            <w:vAlign w:val="center"/>
          </w:tcPr>
          <w:p w14:paraId="24D51839">
            <w:pPr>
              <w:keepNext w:val="0"/>
              <w:keepLines w:val="0"/>
              <w:widowControl/>
              <w:suppressLineNumbers w:val="0"/>
              <w:jc w:val="left"/>
              <w:rPr>
                <w:rFonts w:hint="eastAsia" w:ascii="宋体" w:hAnsi="宋体" w:eastAsia="宋体" w:cs="宋体"/>
                <w:color w:val="000000"/>
                <w:kern w:val="0"/>
                <w:sz w:val="24"/>
                <w:szCs w:val="24"/>
                <w:highlight w:val="yellow"/>
                <w:lang w:val="en-US" w:eastAsia="zh-CN" w:bidi="ar"/>
              </w:rPr>
            </w:pPr>
            <w:r>
              <w:rPr>
                <w:rFonts w:hint="eastAsia" w:ascii="宋体" w:hAnsi="宋体" w:eastAsia="宋体" w:cs="宋体"/>
                <w:color w:val="000000"/>
                <w:kern w:val="0"/>
                <w:sz w:val="24"/>
                <w:szCs w:val="24"/>
                <w:lang w:val="en-US" w:eastAsia="zh-CN" w:bidi="ar"/>
              </w:rPr>
              <w:t>经调查，古树历年常有食叶害虫尺蠖、蚜虫存在，东南侧一级分枝存在多处蛀干虫孔以及霉菌生长，古树受病虫害侵染严重。</w:t>
            </w:r>
          </w:p>
        </w:tc>
        <w:tc>
          <w:tcPr>
            <w:tcW w:w="2037" w:type="dxa"/>
            <w:vMerge w:val="continue"/>
            <w:noWrap w:val="0"/>
            <w:vAlign w:val="center"/>
          </w:tcPr>
          <w:p w14:paraId="408DA1A3">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yellow"/>
                <w:lang w:val="en-US" w:eastAsia="zh-CN" w:bidi="ar"/>
              </w:rPr>
            </w:pPr>
          </w:p>
        </w:tc>
      </w:tr>
      <w:tr w14:paraId="4C96D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noWrap w:val="0"/>
            <w:vAlign w:val="center"/>
          </w:tcPr>
          <w:p w14:paraId="1F598A01">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向阳办</w:t>
            </w:r>
          </w:p>
          <w:p w14:paraId="4A8214B5">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color w:val="000000"/>
                <w:kern w:val="0"/>
                <w:sz w:val="24"/>
                <w:szCs w:val="24"/>
                <w:highlight w:val="none"/>
                <w:lang w:val="en-US" w:eastAsia="zh-CN" w:bidi="ar"/>
              </w:rPr>
              <w:t>瓦塔村</w:t>
            </w:r>
          </w:p>
        </w:tc>
        <w:tc>
          <w:tcPr>
            <w:tcW w:w="1777" w:type="dxa"/>
            <w:vMerge w:val="restart"/>
            <w:noWrap w:val="0"/>
            <w:vAlign w:val="center"/>
          </w:tcPr>
          <w:p w14:paraId="3E0F62E3">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61050203001</w:t>
            </w:r>
          </w:p>
        </w:tc>
        <w:tc>
          <w:tcPr>
            <w:tcW w:w="1005" w:type="dxa"/>
            <w:vMerge w:val="restart"/>
            <w:noWrap w:val="0"/>
            <w:vAlign w:val="center"/>
          </w:tcPr>
          <w:p w14:paraId="35401C2F">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国槐</w:t>
            </w:r>
          </w:p>
        </w:tc>
        <w:tc>
          <w:tcPr>
            <w:tcW w:w="3345" w:type="dxa"/>
            <w:noWrap w:val="0"/>
            <w:vAlign w:val="center"/>
          </w:tcPr>
          <w:p w14:paraId="0CDA070B">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树龄650年，树高9m，胸径1.1m，平均冠幅7m；原有分枝均已断折，目前树冠均为再生冠，整体树冠呈偏冠伞形。主干西北侧呈开放式空腐贯穿体，从地面约2.5米处开始向东南方向水平弯曲，弯曲弧度接近90。</w:t>
            </w:r>
          </w:p>
        </w:tc>
        <w:tc>
          <w:tcPr>
            <w:tcW w:w="2037" w:type="dxa"/>
            <w:vMerge w:val="restart"/>
            <w:noWrap w:val="0"/>
            <w:vAlign w:val="center"/>
          </w:tcPr>
          <w:p w14:paraId="75D8CA95">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p w14:paraId="7BD92692">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p w14:paraId="1552F168">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p w14:paraId="51F22988">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p w14:paraId="3FD64621">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p w14:paraId="1F9B5727">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局部树皮腐坏清理、防腐涂刷，小型树洞防渗修复；</w:t>
            </w:r>
          </w:p>
          <w:p w14:paraId="34336583">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树盘硬化地面局部破除，回填营养土；</w:t>
            </w:r>
          </w:p>
          <w:p w14:paraId="5AD05C8A">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埋设环形回型透气管道，改良根系生长环境；</w:t>
            </w:r>
          </w:p>
          <w:p w14:paraId="49A15EF3">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修剪枯死病枝，药剂消杀虫害；</w:t>
            </w:r>
          </w:p>
          <w:p w14:paraId="18DDD612">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悬挂营养液、叶面肥、根部复壮施肥；</w:t>
            </w:r>
          </w:p>
          <w:p w14:paraId="551155D4">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color w:val="000000"/>
                <w:kern w:val="0"/>
                <w:sz w:val="24"/>
                <w:szCs w:val="24"/>
                <w:highlight w:val="none"/>
                <w:lang w:val="en-US" w:eastAsia="zh-CN" w:bidi="ar"/>
              </w:rPr>
              <w:t>寺院园路破损处修复整平，安装1.2m仿木防护围栏、保护标牌垃圾清运。</w:t>
            </w:r>
          </w:p>
        </w:tc>
      </w:tr>
      <w:tr w14:paraId="6682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noWrap w:val="0"/>
            <w:vAlign w:val="center"/>
          </w:tcPr>
          <w:p w14:paraId="7433FCE2">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noWrap w:val="0"/>
            <w:vAlign w:val="center"/>
          </w:tcPr>
          <w:p w14:paraId="4B0BE9B2">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noWrap w:val="0"/>
            <w:vAlign w:val="center"/>
          </w:tcPr>
          <w:p w14:paraId="0D86BBF0">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noWrap w:val="0"/>
            <w:vAlign w:val="center"/>
          </w:tcPr>
          <w:p w14:paraId="63689894">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古树位于临渭区向阳办瓦塔村村民入户门口旁，东南侧为硬化村 </w:t>
            </w:r>
          </w:p>
          <w:p w14:paraId="6D3D982A">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道，西北侧紧邻住宅，东北侧为入户硬化地面，仅西南侧有少量裸露 </w:t>
            </w:r>
          </w:p>
          <w:p w14:paraId="3DDB6EFF">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地面且边缘高出路面约0.4m</w:t>
            </w:r>
          </w:p>
          <w:p w14:paraId="5E064950">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c>
          <w:tcPr>
            <w:tcW w:w="2037" w:type="dxa"/>
            <w:vMerge w:val="continue"/>
            <w:noWrap w:val="0"/>
            <w:vAlign w:val="center"/>
          </w:tcPr>
          <w:p w14:paraId="052DB1AA">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420E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8" w:type="dxa"/>
            <w:vMerge w:val="continue"/>
            <w:tcBorders>
              <w:bottom w:val="nil"/>
            </w:tcBorders>
            <w:noWrap w:val="0"/>
            <w:vAlign w:val="center"/>
          </w:tcPr>
          <w:p w14:paraId="78E524C5">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bottom w:val="nil"/>
            </w:tcBorders>
            <w:noWrap w:val="0"/>
            <w:vAlign w:val="center"/>
          </w:tcPr>
          <w:p w14:paraId="554A94C6">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bottom w:val="nil"/>
            </w:tcBorders>
            <w:noWrap w:val="0"/>
            <w:vAlign w:val="center"/>
          </w:tcPr>
          <w:p w14:paraId="5B29D142">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noWrap w:val="0"/>
            <w:vAlign w:val="center"/>
          </w:tcPr>
          <w:p w14:paraId="6380F933">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古树西南侧少量裸露地面生长大量灌木杂苗及杂草，汲取古树养分，影响古树生长。古树树身缺失，仅剩西北侧残存且呈开放式空腐贯穿整体，残存木质部厚度约5-20cm，树干从地面约2.5米处开始向东南方向水平弯90°，原有分枝均已断折，目前曲 ，弯曲弧度接近树冠均为再生冠且树冠有大量枯死小枝。</w:t>
            </w:r>
          </w:p>
        </w:tc>
        <w:tc>
          <w:tcPr>
            <w:tcW w:w="2037" w:type="dxa"/>
            <w:vMerge w:val="continue"/>
            <w:noWrap w:val="0"/>
            <w:vAlign w:val="center"/>
          </w:tcPr>
          <w:p w14:paraId="02629ACF">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1888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tcBorders>
              <w:top w:val="nil"/>
              <w:left w:val="single" w:color="auto" w:sz="4" w:space="0"/>
              <w:bottom w:val="single" w:color="auto" w:sz="4" w:space="0"/>
              <w:right w:val="single" w:color="auto" w:sz="4" w:space="0"/>
            </w:tcBorders>
            <w:noWrap w:val="0"/>
            <w:vAlign w:val="center"/>
          </w:tcPr>
          <w:p w14:paraId="2E9048E2">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tcBorders>
              <w:top w:val="nil"/>
              <w:left w:val="single" w:color="auto" w:sz="4" w:space="0"/>
              <w:bottom w:val="single" w:color="auto" w:sz="4" w:space="0"/>
              <w:right w:val="single" w:color="auto" w:sz="4" w:space="0"/>
            </w:tcBorders>
            <w:noWrap w:val="0"/>
            <w:vAlign w:val="center"/>
          </w:tcPr>
          <w:p w14:paraId="772B32ED">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tcBorders>
              <w:top w:val="nil"/>
              <w:left w:val="single" w:color="auto" w:sz="4" w:space="0"/>
              <w:bottom w:val="single" w:color="auto" w:sz="4" w:space="0"/>
              <w:right w:val="single" w:color="auto" w:sz="4" w:space="0"/>
            </w:tcBorders>
            <w:noWrap w:val="0"/>
            <w:vAlign w:val="center"/>
          </w:tcPr>
          <w:p w14:paraId="6B96BD3E">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tcBorders>
              <w:left w:val="single" w:color="auto" w:sz="4" w:space="0"/>
            </w:tcBorders>
            <w:noWrap w:val="0"/>
            <w:vAlign w:val="center"/>
          </w:tcPr>
          <w:p w14:paraId="56CACC9E">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古树主干存在虫孔，历年常有食叶害虫尺蠖、蚜虫存在，树身霉菌生长，古树受病虫害侵染严重。</w:t>
            </w:r>
          </w:p>
        </w:tc>
        <w:tc>
          <w:tcPr>
            <w:tcW w:w="2037" w:type="dxa"/>
            <w:vMerge w:val="continue"/>
            <w:noWrap w:val="0"/>
            <w:vAlign w:val="center"/>
          </w:tcPr>
          <w:p w14:paraId="385B0D8E">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4B80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tcBorders>
              <w:top w:val="single" w:color="auto" w:sz="4" w:space="0"/>
              <w:bottom w:val="single" w:color="auto" w:sz="4" w:space="0"/>
            </w:tcBorders>
            <w:noWrap w:val="0"/>
            <w:vAlign w:val="center"/>
          </w:tcPr>
          <w:p w14:paraId="1C26D1B6">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向阳办</w:t>
            </w:r>
          </w:p>
          <w:p w14:paraId="5909653D">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毕家村</w:t>
            </w:r>
          </w:p>
        </w:tc>
        <w:tc>
          <w:tcPr>
            <w:tcW w:w="1777" w:type="dxa"/>
            <w:vMerge w:val="restart"/>
            <w:tcBorders>
              <w:top w:val="single" w:color="auto" w:sz="4" w:space="0"/>
              <w:bottom w:val="single" w:color="auto" w:sz="4" w:space="0"/>
            </w:tcBorders>
            <w:noWrap w:val="0"/>
            <w:vAlign w:val="center"/>
          </w:tcPr>
          <w:p w14:paraId="79FEDF2D">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61050201039</w:t>
            </w:r>
          </w:p>
        </w:tc>
        <w:tc>
          <w:tcPr>
            <w:tcW w:w="1005" w:type="dxa"/>
            <w:vMerge w:val="restart"/>
            <w:tcBorders>
              <w:top w:val="single" w:color="auto" w:sz="4" w:space="0"/>
              <w:bottom w:val="single" w:color="auto" w:sz="4" w:space="0"/>
            </w:tcBorders>
            <w:noWrap w:val="0"/>
            <w:vAlign w:val="center"/>
          </w:tcPr>
          <w:p w14:paraId="244CFBBF">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国槐</w:t>
            </w:r>
          </w:p>
        </w:tc>
        <w:tc>
          <w:tcPr>
            <w:tcW w:w="3345" w:type="dxa"/>
            <w:noWrap w:val="0"/>
            <w:vAlign w:val="center"/>
          </w:tcPr>
          <w:p w14:paraId="43E1CE89">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树龄700年，树高12m，胸径1.2m，平均冠幅14m；树冠呈不对称的 </w:t>
            </w:r>
          </w:p>
          <w:p w14:paraId="097D6FFC">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广卵形，整体开阔舒展，枝条向四周辐射伸展，西北侧分枝向外延伸， </w:t>
            </w:r>
          </w:p>
          <w:p w14:paraId="3D2E22B8">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东南侧受建筑空间限制，部分分枝被民居墙体建筑包裹，整体呈现“ 外扩内收”的姿态。主干在约3米处开始分叉，形成多个粗壮的主枝，随后进一步多级分枝，分枝角度大，枝条虬曲苍劲，部分枝条因长期生长呈现自然的弯曲与扭转，整体结构复杂而富有张力</w:t>
            </w:r>
          </w:p>
        </w:tc>
        <w:tc>
          <w:tcPr>
            <w:tcW w:w="2037" w:type="dxa"/>
            <w:vMerge w:val="restart"/>
            <w:noWrap w:val="0"/>
            <w:vAlign w:val="center"/>
          </w:tcPr>
          <w:p w14:paraId="32BC1E42">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64EA0282">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5B3DDB2F">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23E52398">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03EF63C2">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树干防腐清腐，中空部位防渗修复；</w:t>
            </w:r>
          </w:p>
          <w:p w14:paraId="60944C67">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钢支撑+拉纤固定倾斜主干，消除倒伏风险；</w:t>
            </w:r>
          </w:p>
          <w:p w14:paraId="1C5C0FEC">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树盘整治：清理杂灌、开挖多余覆土，更换营养土，增设渗水井；</w:t>
            </w:r>
          </w:p>
          <w:p w14:paraId="63C10F63">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民宅台阶临时支护、地面破除后复原；</w:t>
            </w:r>
          </w:p>
          <w:p w14:paraId="66D225EB">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全套复壮措施：根部施肥、营养液、叶面肥；</w:t>
            </w:r>
          </w:p>
          <w:p w14:paraId="1AEECE84">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高空修剪病枯枝，全年病虫害药剂防治；安装标识标牌、防护围栏</w:t>
            </w:r>
          </w:p>
        </w:tc>
      </w:tr>
      <w:tr w14:paraId="6795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162C1F67">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49AF8D18">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71FBFD45">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noWrap w:val="0"/>
            <w:vAlign w:val="center"/>
          </w:tcPr>
          <w:p w14:paraId="51AF3960">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位于向阳办毕家村村民门口旁，采光、通风条件良好，土壤为黄土，紧实度密，透气性差。</w:t>
            </w:r>
          </w:p>
        </w:tc>
        <w:tc>
          <w:tcPr>
            <w:tcW w:w="2037" w:type="dxa"/>
            <w:vMerge w:val="continue"/>
            <w:noWrap w:val="0"/>
            <w:vAlign w:val="center"/>
          </w:tcPr>
          <w:p w14:paraId="5D5A988C">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1F37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1F0A7F11">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1F21E299">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64B25B9E">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noWrap w:val="0"/>
            <w:vAlign w:val="center"/>
          </w:tcPr>
          <w:p w14:paraId="6D5788FB">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 xml:space="preserve"> 树干东南侧呈开放式空腐贯穿至分支点处，树干有损伤，根系分布及活力一般。</w:t>
            </w:r>
          </w:p>
        </w:tc>
        <w:tc>
          <w:tcPr>
            <w:tcW w:w="2037" w:type="dxa"/>
            <w:vMerge w:val="continue"/>
            <w:noWrap w:val="0"/>
            <w:vAlign w:val="center"/>
          </w:tcPr>
          <w:p w14:paraId="381594AF">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222E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978" w:type="dxa"/>
            <w:vMerge w:val="continue"/>
            <w:tcBorders>
              <w:top w:val="single" w:color="auto" w:sz="4" w:space="0"/>
              <w:bottom w:val="single" w:color="auto" w:sz="4" w:space="0"/>
            </w:tcBorders>
            <w:noWrap w:val="0"/>
            <w:vAlign w:val="center"/>
          </w:tcPr>
          <w:p w14:paraId="27007D9A">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337A0369">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15A655B4">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noWrap w:val="0"/>
            <w:vAlign w:val="center"/>
          </w:tcPr>
          <w:p w14:paraId="0561BE9D">
            <w:pPr>
              <w:keepNext w:val="0"/>
              <w:keepLines w:val="0"/>
              <w:widowControl/>
              <w:suppressLineNumbers w:val="0"/>
              <w:snapToGrid w:val="0"/>
              <w:ind w:left="0" w:leftChars="0" w:right="0" w:rightChars="0" w:firstLine="0" w:firstLineChars="0"/>
              <w:jc w:val="left"/>
              <w:rPr>
                <w:rFonts w:hint="eastAsia" w:ascii="宋体" w:hAnsi="宋体" w:eastAsia="宋体" w:cs="宋体"/>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树体健康状况一般，病虫害及环境干扰评估差。无护栏无支架，保护现状一般。</w:t>
            </w:r>
          </w:p>
        </w:tc>
        <w:tc>
          <w:tcPr>
            <w:tcW w:w="2037" w:type="dxa"/>
            <w:vMerge w:val="continue"/>
            <w:tcBorders>
              <w:bottom w:val="single" w:color="auto" w:sz="4" w:space="0"/>
            </w:tcBorders>
            <w:noWrap w:val="0"/>
            <w:vAlign w:val="center"/>
          </w:tcPr>
          <w:p w14:paraId="109E862C">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6B14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tcBorders>
              <w:top w:val="single" w:color="auto" w:sz="4" w:space="0"/>
              <w:bottom w:val="single" w:color="auto" w:sz="4" w:space="0"/>
            </w:tcBorders>
            <w:noWrap w:val="0"/>
            <w:vAlign w:val="center"/>
          </w:tcPr>
          <w:p w14:paraId="3364DE06">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向阳办</w:t>
            </w:r>
          </w:p>
          <w:p w14:paraId="5E2E13DA">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樊家村</w:t>
            </w:r>
          </w:p>
        </w:tc>
        <w:tc>
          <w:tcPr>
            <w:tcW w:w="1777" w:type="dxa"/>
            <w:vMerge w:val="restart"/>
            <w:tcBorders>
              <w:top w:val="single" w:color="auto" w:sz="4" w:space="0"/>
              <w:bottom w:val="single" w:color="auto" w:sz="4" w:space="0"/>
            </w:tcBorders>
            <w:noWrap w:val="0"/>
            <w:vAlign w:val="center"/>
          </w:tcPr>
          <w:p w14:paraId="00DE51F8">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61050201060</w:t>
            </w:r>
          </w:p>
        </w:tc>
        <w:tc>
          <w:tcPr>
            <w:tcW w:w="1005" w:type="dxa"/>
            <w:vMerge w:val="restart"/>
            <w:tcBorders>
              <w:top w:val="single" w:color="auto" w:sz="4" w:space="0"/>
              <w:bottom w:val="single" w:color="auto" w:sz="4" w:space="0"/>
            </w:tcBorders>
            <w:noWrap w:val="0"/>
            <w:vAlign w:val="center"/>
          </w:tcPr>
          <w:p w14:paraId="33089CCA">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国槐</w:t>
            </w:r>
          </w:p>
        </w:tc>
        <w:tc>
          <w:tcPr>
            <w:tcW w:w="3345" w:type="dxa"/>
            <w:tcBorders>
              <w:right w:val="single" w:color="auto" w:sz="4" w:space="0"/>
            </w:tcBorders>
            <w:noWrap w:val="0"/>
            <w:vAlign w:val="center"/>
          </w:tcPr>
          <w:p w14:paraId="7D78B0A7">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树龄550年，树高13m，胸径1.2m，平均冠12m；主干在约5米处开始分叉，形成多个分枝，分枝角度大，枝条虬曲苍劲，部分枝条因长期生长呈现自然的弯曲、扭转。枝条层次复杂，老枝与新枝交错分布，既有向高空伸展的直立枝，也有水平伸展的横枝，部分枝条因树势衰退出现枯梢，树冠呈不规则的广卵形，冠幅开阔舒展，结构上呈现“外疏内密、上枯下荣”的状态。</w:t>
            </w:r>
          </w:p>
        </w:tc>
        <w:tc>
          <w:tcPr>
            <w:tcW w:w="2037" w:type="dxa"/>
            <w:vMerge w:val="restart"/>
            <w:tcBorders>
              <w:top w:val="single" w:color="auto" w:sz="4" w:space="0"/>
              <w:left w:val="single" w:color="auto" w:sz="4" w:space="0"/>
              <w:bottom w:val="single" w:color="auto" w:sz="4" w:space="0"/>
              <w:right w:val="single" w:color="auto" w:sz="4" w:space="0"/>
            </w:tcBorders>
            <w:noWrap w:val="0"/>
            <w:vAlign w:val="center"/>
          </w:tcPr>
          <w:p w14:paraId="74BB524A">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7BDF5061">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68A36097">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09EEDE56">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26E33F5B">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03E80857">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05ED9EF1">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09FF8B5D">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51E25B5D">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733C2428">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腐朽木质清理、防腐药剂全面涂抹；</w:t>
            </w:r>
          </w:p>
          <w:p w14:paraId="773EFF8A">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拆除老旧拉纤，新增支撑、柔性拉纤加固树体；</w:t>
            </w:r>
          </w:p>
          <w:p w14:paraId="7893FE2A">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地表清理、树盘平整，埋设透气管道，改良土壤；</w:t>
            </w:r>
          </w:p>
          <w:p w14:paraId="6EA516FA">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树洞填充封堵，表层仿真装饰；</w:t>
            </w:r>
          </w:p>
          <w:p w14:paraId="458C8E27">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根部复壮、悬挂营养液、叶面肥喷施；</w:t>
            </w:r>
          </w:p>
          <w:p w14:paraId="3C725F77">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定期病虫消杀，修剪枯死枝条清运；制作安装古树保护宣传牌</w:t>
            </w:r>
          </w:p>
        </w:tc>
      </w:tr>
      <w:tr w14:paraId="4EA5C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1126D715">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4F9B0A5E">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3F8C67B9">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tcBorders>
              <w:right w:val="single" w:color="auto" w:sz="4" w:space="0"/>
            </w:tcBorders>
            <w:noWrap w:val="0"/>
            <w:vAlign w:val="center"/>
          </w:tcPr>
          <w:p w14:paraId="5408F4C7">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位于临渭区向阳办樊家村村民门口旁，东侧紧邻村民住宅，西侧为硬化村道与树之间存在一条硬化排水沟，南侧为入户硬化地面，北侧地面杂乱不堪，各种砖石、混凝土铺装。</w:t>
            </w: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27E552CD">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51BF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574F8496">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1A7CE714">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6BB29A6C">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tcBorders>
              <w:right w:val="single" w:color="auto" w:sz="4" w:space="0"/>
            </w:tcBorders>
            <w:noWrap w:val="0"/>
            <w:vAlign w:val="center"/>
          </w:tcPr>
          <w:p w14:paraId="7E82872A">
            <w:pPr>
              <w:keepNext w:val="0"/>
              <w:keepLines w:val="0"/>
              <w:widowControl/>
              <w:suppressLineNumbers w:val="0"/>
              <w:jc w:val="left"/>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color w:val="000000"/>
                <w:kern w:val="0"/>
                <w:sz w:val="24"/>
                <w:szCs w:val="24"/>
                <w:lang w:val="en-US" w:eastAsia="zh-CN" w:bidi="ar"/>
              </w:rPr>
              <w:t>古树主干向东南侧倾斜延伸，倾斜程度逐年加剧，已压迫民宅入户门楼，村民为保护古树已拆除门楼顶部。西南侧一级分枝延伸过长至住户屋顶中段且中段及末端有大量枯死枝，主干西北侧呈开放式空腐，空洞高度约3m，残存木质部厚度15-30cm，南侧底部部分树皮脱 落，木质部裸露干腐；主干顶部北侧一级分枝树皮脱落木质部空腐裸 露延伸至分支点，除此之外树冠其余部位也存在大量枯死小枝</w:t>
            </w: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25838189">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3DF05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978" w:type="dxa"/>
            <w:vMerge w:val="continue"/>
            <w:tcBorders>
              <w:top w:val="single" w:color="auto" w:sz="4" w:space="0"/>
              <w:bottom w:val="single" w:color="auto" w:sz="4" w:space="0"/>
            </w:tcBorders>
            <w:noWrap w:val="0"/>
            <w:vAlign w:val="center"/>
          </w:tcPr>
          <w:p w14:paraId="62E5F052">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777" w:type="dxa"/>
            <w:vMerge w:val="continue"/>
            <w:tcBorders>
              <w:top w:val="single" w:color="auto" w:sz="4" w:space="0"/>
              <w:bottom w:val="single" w:color="auto" w:sz="4" w:space="0"/>
            </w:tcBorders>
            <w:noWrap w:val="0"/>
            <w:vAlign w:val="center"/>
          </w:tcPr>
          <w:p w14:paraId="322E3BBC">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1005" w:type="dxa"/>
            <w:vMerge w:val="continue"/>
            <w:tcBorders>
              <w:top w:val="single" w:color="auto" w:sz="4" w:space="0"/>
              <w:bottom w:val="single" w:color="auto" w:sz="4" w:space="0"/>
            </w:tcBorders>
            <w:noWrap w:val="0"/>
            <w:vAlign w:val="center"/>
          </w:tcPr>
          <w:p w14:paraId="25CC4411">
            <w:pPr>
              <w:snapToGrid w:val="0"/>
              <w:spacing w:line="240" w:lineRule="auto"/>
              <w:ind w:left="0" w:leftChars="0" w:right="0" w:rightChars="0" w:firstLine="0" w:firstLineChars="0"/>
              <w:jc w:val="center"/>
              <w:rPr>
                <w:rFonts w:hint="eastAsia" w:ascii="宋体" w:hAnsi="宋体" w:eastAsia="宋体" w:cs="宋体"/>
                <w:b/>
                <w:bCs/>
                <w:sz w:val="24"/>
                <w:szCs w:val="24"/>
                <w:highlight w:val="yellow"/>
                <w:vertAlign w:val="baseline"/>
                <w:lang w:val="en-US" w:eastAsia="zh-CN"/>
              </w:rPr>
            </w:pPr>
          </w:p>
        </w:tc>
        <w:tc>
          <w:tcPr>
            <w:tcW w:w="3345" w:type="dxa"/>
            <w:tcBorders>
              <w:right w:val="single" w:color="auto" w:sz="4" w:space="0"/>
            </w:tcBorders>
            <w:noWrap w:val="0"/>
            <w:vAlign w:val="center"/>
          </w:tcPr>
          <w:p w14:paraId="6E21C56C">
            <w:pPr>
              <w:keepNext w:val="0"/>
              <w:keepLines w:val="0"/>
              <w:widowControl/>
              <w:suppressLineNumbers w:val="0"/>
              <w:jc w:val="left"/>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color w:val="000000"/>
                <w:kern w:val="0"/>
                <w:sz w:val="24"/>
                <w:szCs w:val="24"/>
                <w:lang w:val="en-US" w:eastAsia="zh-CN" w:bidi="ar"/>
              </w:rPr>
              <w:t>古树主干存在虫孔，历年常有食叶害虫尺蠖、蚜虫存在，树干生长霉菌，古树受病虫害侵染严重。</w:t>
            </w:r>
          </w:p>
        </w:tc>
        <w:tc>
          <w:tcPr>
            <w:tcW w:w="2037" w:type="dxa"/>
            <w:vMerge w:val="continue"/>
            <w:tcBorders>
              <w:top w:val="single" w:color="auto" w:sz="4" w:space="0"/>
              <w:left w:val="single" w:color="auto" w:sz="4" w:space="0"/>
              <w:bottom w:val="single" w:color="auto" w:sz="4" w:space="0"/>
              <w:right w:val="single" w:color="auto" w:sz="4" w:space="0"/>
            </w:tcBorders>
            <w:noWrap w:val="0"/>
            <w:vAlign w:val="center"/>
          </w:tcPr>
          <w:p w14:paraId="6E289B20">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43A89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tcBorders>
              <w:top w:val="single" w:color="auto" w:sz="4" w:space="0"/>
              <w:bottom w:val="single" w:color="auto" w:sz="4" w:space="0"/>
            </w:tcBorders>
            <w:noWrap w:val="0"/>
            <w:vAlign w:val="center"/>
          </w:tcPr>
          <w:p w14:paraId="092C3BD7">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双王街办</w:t>
            </w:r>
          </w:p>
          <w:p w14:paraId="69FDF0FC">
            <w:pPr>
              <w:keepNext w:val="0"/>
              <w:keepLines w:val="0"/>
              <w:widowControl/>
              <w:suppressLineNumbers w:val="0"/>
              <w:snapToGrid w:val="0"/>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宣化寺</w:t>
            </w:r>
          </w:p>
        </w:tc>
        <w:tc>
          <w:tcPr>
            <w:tcW w:w="1777" w:type="dxa"/>
            <w:vMerge w:val="restart"/>
            <w:tcBorders>
              <w:top w:val="single" w:color="auto" w:sz="4" w:space="0"/>
              <w:bottom w:val="single" w:color="auto" w:sz="4" w:space="0"/>
            </w:tcBorders>
            <w:noWrap w:val="0"/>
            <w:vAlign w:val="center"/>
          </w:tcPr>
          <w:p w14:paraId="7924319E">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61050209061</w:t>
            </w:r>
          </w:p>
        </w:tc>
        <w:tc>
          <w:tcPr>
            <w:tcW w:w="1005" w:type="dxa"/>
            <w:vMerge w:val="restart"/>
            <w:tcBorders>
              <w:top w:val="single" w:color="auto" w:sz="4" w:space="0"/>
              <w:bottom w:val="single" w:color="auto" w:sz="4" w:space="0"/>
            </w:tcBorders>
            <w:noWrap w:val="0"/>
            <w:vAlign w:val="center"/>
          </w:tcPr>
          <w:p w14:paraId="3BF52B96">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highlight w:val="none"/>
                <w:lang w:val="en-US" w:eastAsia="zh-CN" w:bidi="ar"/>
              </w:rPr>
              <w:t>文冠树</w:t>
            </w:r>
          </w:p>
        </w:tc>
        <w:tc>
          <w:tcPr>
            <w:tcW w:w="3345" w:type="dxa"/>
            <w:noWrap w:val="0"/>
            <w:vAlign w:val="center"/>
          </w:tcPr>
          <w:p w14:paraId="0C479D83">
            <w:pPr>
              <w:keepNext w:val="0"/>
              <w:keepLines w:val="0"/>
              <w:widowControl/>
              <w:suppressLineNumbers w:val="0"/>
              <w:jc w:val="left"/>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color w:val="000000"/>
                <w:kern w:val="0"/>
                <w:sz w:val="24"/>
                <w:szCs w:val="24"/>
                <w:lang w:val="en-US" w:eastAsia="zh-CN" w:bidi="ar"/>
              </w:rPr>
              <w:t>树冠呈不规则的广卵形，冠幅不算特别舒展，受周边建筑和生长环境限制，整体呈现 “中间高、两侧低”的形态，是长期环境胁迫下形成的非对称树冠。树冠呈现鲜明的“枯荣交织”状态，树冠中左部、下部的枝条萌发了大量鲜绿色新叶，叶片茂密，是主要的生长活力区，树冠右侧、上部存在大量光秃的枯枝，枝条完全无叶，甚至出现断裂、枯死的痕迹，部分枝条已失去生长能力。主干在较低位置开始分叉，形成多个主枝，分枝角度较大，枝条虬曲苍劲。枝条层次混乱，老枝与新枝交错分布，枯梢现象明显，上部枝条的生长活力远弱于下部，反映出顶端优势减弱、树势整体衰退的特征</w:t>
            </w:r>
          </w:p>
        </w:tc>
        <w:tc>
          <w:tcPr>
            <w:tcW w:w="2037" w:type="dxa"/>
            <w:vMerge w:val="restart"/>
            <w:tcBorders>
              <w:top w:val="single" w:color="auto" w:sz="4" w:space="0"/>
              <w:bottom w:val="single" w:color="auto" w:sz="4" w:space="0"/>
            </w:tcBorders>
            <w:noWrap w:val="0"/>
            <w:vAlign w:val="center"/>
          </w:tcPr>
          <w:p w14:paraId="3CE9C18C">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11E96B44">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25E9234F">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3A0BEA21">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4432541C">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52BB5140">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62DF7B5F">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p w14:paraId="6E2AE73B">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局部树皮腐坏清理、防腐涂刷，小型树洞防渗修复；</w:t>
            </w:r>
          </w:p>
          <w:p w14:paraId="4943A4B6">
            <w:pPr>
              <w:keepNext w:val="0"/>
              <w:keepLines w:val="0"/>
              <w:widowControl/>
              <w:suppressLineNumbers w:val="0"/>
              <w:snapToGrid w:val="0"/>
              <w:ind w:left="0" w:leftChars="0" w:right="0" w:rightChars="0" w:firstLine="0" w:firstLineChars="0"/>
              <w:jc w:val="left"/>
              <w:rPr>
                <w:rFonts w:hint="eastAsia" w:ascii="宋体" w:hAnsi="宋体" w:eastAsia="宋体" w:cs="宋体"/>
                <w:b/>
                <w:bCs/>
                <w:sz w:val="24"/>
                <w:szCs w:val="24"/>
                <w:highlight w:val="yellow"/>
                <w:vertAlign w:val="baseline"/>
                <w:lang w:val="en-US" w:eastAsia="zh-CN"/>
              </w:rPr>
            </w:pPr>
            <w:r>
              <w:rPr>
                <w:rFonts w:hint="eastAsia" w:ascii="宋体" w:hAnsi="宋体" w:eastAsia="宋体" w:cs="宋体"/>
                <w:color w:val="000000"/>
                <w:kern w:val="0"/>
                <w:sz w:val="24"/>
                <w:szCs w:val="24"/>
                <w:highlight w:val="none"/>
                <w:lang w:val="en-US" w:eastAsia="zh-CN" w:bidi="ar"/>
              </w:rPr>
              <w:t>树盘硬化地面局部破除，回填营养土；埋设环形回型透气管道，改良根系生长环境；修剪枯死病枝，药剂消杀虫害；悬挂营养液、叶面肥、根部复壮施肥；寺院园路破损处修复整平，安装1.2m仿木防护围栏、保护标牌</w:t>
            </w:r>
          </w:p>
        </w:tc>
      </w:tr>
      <w:tr w14:paraId="68B8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746C8D48">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1777" w:type="dxa"/>
            <w:vMerge w:val="continue"/>
            <w:tcBorders>
              <w:top w:val="single" w:color="auto" w:sz="4" w:space="0"/>
              <w:bottom w:val="single" w:color="auto" w:sz="4" w:space="0"/>
            </w:tcBorders>
            <w:noWrap w:val="0"/>
            <w:vAlign w:val="center"/>
          </w:tcPr>
          <w:p w14:paraId="734F47C3">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1005" w:type="dxa"/>
            <w:vMerge w:val="continue"/>
            <w:tcBorders>
              <w:top w:val="single" w:color="auto" w:sz="4" w:space="0"/>
              <w:bottom w:val="single" w:color="auto" w:sz="4" w:space="0"/>
            </w:tcBorders>
            <w:noWrap w:val="0"/>
            <w:vAlign w:val="center"/>
          </w:tcPr>
          <w:p w14:paraId="01C17383">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3345" w:type="dxa"/>
            <w:noWrap w:val="0"/>
            <w:vAlign w:val="center"/>
          </w:tcPr>
          <w:p w14:paraId="7B915791">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位于临渭区宣化寺内，东北、东南侧为寺院围墙，西北、西南侧为砖砌树池，树池旁筑有石碑及铺砖小园路，据调查树池内在原有基础上新覆土高度约0.5m。</w:t>
            </w:r>
          </w:p>
        </w:tc>
        <w:tc>
          <w:tcPr>
            <w:tcW w:w="2037" w:type="dxa"/>
            <w:vMerge w:val="continue"/>
            <w:tcBorders>
              <w:top w:val="single" w:color="auto" w:sz="4" w:space="0"/>
              <w:bottom w:val="single" w:color="auto" w:sz="4" w:space="0"/>
            </w:tcBorders>
            <w:noWrap w:val="0"/>
            <w:vAlign w:val="center"/>
          </w:tcPr>
          <w:p w14:paraId="2466EEBF">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6BAB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78" w:type="dxa"/>
            <w:vMerge w:val="continue"/>
            <w:tcBorders>
              <w:top w:val="single" w:color="auto" w:sz="4" w:space="0"/>
              <w:bottom w:val="single" w:color="auto" w:sz="4" w:space="0"/>
            </w:tcBorders>
            <w:noWrap w:val="0"/>
            <w:vAlign w:val="center"/>
          </w:tcPr>
          <w:p w14:paraId="47FFEA66">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1777" w:type="dxa"/>
            <w:vMerge w:val="continue"/>
            <w:tcBorders>
              <w:top w:val="single" w:color="auto" w:sz="4" w:space="0"/>
              <w:bottom w:val="single" w:color="auto" w:sz="4" w:space="0"/>
            </w:tcBorders>
            <w:noWrap w:val="0"/>
            <w:vAlign w:val="center"/>
          </w:tcPr>
          <w:p w14:paraId="23A1E6CC">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1005" w:type="dxa"/>
            <w:vMerge w:val="continue"/>
            <w:tcBorders>
              <w:top w:val="single" w:color="auto" w:sz="4" w:space="0"/>
              <w:bottom w:val="single" w:color="auto" w:sz="4" w:space="0"/>
            </w:tcBorders>
            <w:noWrap w:val="0"/>
            <w:vAlign w:val="center"/>
          </w:tcPr>
          <w:p w14:paraId="64F12477">
            <w:pPr>
              <w:snapToGrid w:val="0"/>
              <w:spacing w:line="240" w:lineRule="auto"/>
              <w:ind w:left="0" w:leftChars="0" w:right="0" w:rightChars="0" w:firstLine="0" w:firstLineChars="0"/>
              <w:jc w:val="center"/>
              <w:rPr>
                <w:rFonts w:hint="eastAsia" w:ascii="宋体" w:hAnsi="宋体" w:eastAsia="宋体" w:cs="宋体"/>
                <w:b/>
                <w:bCs/>
                <w:sz w:val="24"/>
                <w:szCs w:val="24"/>
                <w:highlight w:val="none"/>
                <w:vertAlign w:val="baseline"/>
                <w:lang w:val="en-US" w:eastAsia="zh-CN"/>
              </w:rPr>
            </w:pPr>
          </w:p>
        </w:tc>
        <w:tc>
          <w:tcPr>
            <w:tcW w:w="3345" w:type="dxa"/>
            <w:noWrap w:val="0"/>
            <w:vAlign w:val="center"/>
          </w:tcPr>
          <w:p w14:paraId="25789F9C">
            <w:pPr>
              <w:keepNext w:val="0"/>
              <w:keepLines w:val="0"/>
              <w:widowControl/>
              <w:suppressLineNumbers w:val="0"/>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color w:val="000000"/>
                <w:kern w:val="0"/>
                <w:sz w:val="24"/>
                <w:szCs w:val="24"/>
                <w:lang w:val="en-US" w:eastAsia="zh-CN" w:bidi="ar"/>
              </w:rPr>
              <w:t>古树主干向东南侧倾斜，内部空腐贯穿，北侧有侧向贯穿小洞，主干西侧底部树皮脱落，木质部干腐裸露；树冠大量分枝干枯死亡，整体长势较弱，古树主干存在虫孔，历年常有食叶害虫蚜虫存在，树体生长霉菌，古树受病虫害侵染严重。</w:t>
            </w:r>
          </w:p>
        </w:tc>
        <w:tc>
          <w:tcPr>
            <w:tcW w:w="2037" w:type="dxa"/>
            <w:vMerge w:val="continue"/>
            <w:tcBorders>
              <w:top w:val="single" w:color="auto" w:sz="4" w:space="0"/>
              <w:bottom w:val="single" w:color="auto" w:sz="4" w:space="0"/>
            </w:tcBorders>
            <w:noWrap w:val="0"/>
            <w:vAlign w:val="center"/>
          </w:tcPr>
          <w:p w14:paraId="512EDDD9">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02F5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0" w:hRule="atLeast"/>
          <w:jc w:val="center"/>
        </w:trPr>
        <w:tc>
          <w:tcPr>
            <w:tcW w:w="978" w:type="dxa"/>
            <w:vMerge w:val="restart"/>
            <w:tcBorders>
              <w:top w:val="single" w:color="auto" w:sz="4" w:space="0"/>
              <w:bottom w:val="single" w:color="auto" w:sz="4" w:space="0"/>
            </w:tcBorders>
            <w:noWrap w:val="0"/>
            <w:vAlign w:val="center"/>
          </w:tcPr>
          <w:p w14:paraId="40E029A9">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val="en-US" w:eastAsia="zh-CN" w:bidi="ar"/>
              </w:rPr>
              <w:t>杜桥办</w:t>
            </w:r>
          </w:p>
          <w:p w14:paraId="631F68B4">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樊李村</w:t>
            </w:r>
          </w:p>
        </w:tc>
        <w:tc>
          <w:tcPr>
            <w:tcW w:w="1777" w:type="dxa"/>
            <w:vMerge w:val="restart"/>
            <w:tcBorders>
              <w:top w:val="single" w:color="auto" w:sz="4" w:space="0"/>
              <w:bottom w:val="single" w:color="auto" w:sz="4" w:space="0"/>
            </w:tcBorders>
            <w:noWrap w:val="0"/>
            <w:vAlign w:val="center"/>
          </w:tcPr>
          <w:p w14:paraId="27B68A59">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61050214047</w:t>
            </w:r>
          </w:p>
        </w:tc>
        <w:tc>
          <w:tcPr>
            <w:tcW w:w="1005" w:type="dxa"/>
            <w:vMerge w:val="restart"/>
            <w:tcBorders>
              <w:top w:val="single" w:color="auto" w:sz="4" w:space="0"/>
              <w:bottom w:val="single" w:color="auto" w:sz="4" w:space="0"/>
            </w:tcBorders>
            <w:noWrap w:val="0"/>
            <w:vAlign w:val="center"/>
          </w:tcPr>
          <w:p w14:paraId="76705098">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color w:val="000000"/>
                <w:kern w:val="0"/>
                <w:sz w:val="24"/>
                <w:szCs w:val="24"/>
                <w:highlight w:val="none"/>
                <w:lang w:val="en-US" w:eastAsia="zh-CN" w:bidi="ar"/>
              </w:rPr>
              <w:t>国槐</w:t>
            </w:r>
          </w:p>
        </w:tc>
        <w:tc>
          <w:tcPr>
            <w:tcW w:w="3345" w:type="dxa"/>
            <w:noWrap w:val="0"/>
            <w:vAlign w:val="center"/>
          </w:tcPr>
          <w:p w14:paraId="47D02C73">
            <w:pPr>
              <w:keepNext w:val="0"/>
              <w:keepLines w:val="0"/>
              <w:widowControl/>
              <w:suppressLineNumbers w:val="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lang w:val="en-US" w:eastAsia="zh-CN" w:bidi="ar"/>
              </w:rPr>
              <w:t>树干从中部部向西南方向大幅弯曲，再向上挺拔生长，向上生长的主干在中上部开始分叉，形成多个粗壮的主枝，再向四周延伸出多级侧枝，分枝层次清晰。它的形态是长期适应狭窄巷道空间的结果，弯曲的主干避开了建筑，上部的树冠则向开阔的天空伸展，形成了不对称的伞状冠幅。</w:t>
            </w:r>
          </w:p>
        </w:tc>
        <w:tc>
          <w:tcPr>
            <w:tcW w:w="2037" w:type="dxa"/>
            <w:vMerge w:val="restart"/>
            <w:tcBorders>
              <w:top w:val="single" w:color="auto" w:sz="4" w:space="0"/>
              <w:bottom w:val="single" w:color="auto" w:sz="4" w:space="0"/>
            </w:tcBorders>
            <w:noWrap w:val="0"/>
            <w:vAlign w:val="center"/>
          </w:tcPr>
          <w:p w14:paraId="1116EC36">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3AEB275A">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346EE22C">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3BF45A05">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2AA1FDCF">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20593052">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大面积清腐防腐，中空树洞整体加固封堵防渗；多组镀锌钢管支撑+多道钢缆拉纤，全方位稳固树体；破除硬质地面，外运垃圾渣土，更换营养土，配套透气装置；全套复壮养护：根部施肥、分批次营养液、叶面肥；全年2次病虫害防治，高空修剪所有枯死枝条；</w:t>
            </w:r>
          </w:p>
          <w:p w14:paraId="1D89C729">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定制安装防护围栏、古树信息标识牌</w:t>
            </w:r>
          </w:p>
        </w:tc>
      </w:tr>
      <w:tr w14:paraId="1ECAA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3A4B41B0">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rPr>
            </w:pPr>
          </w:p>
        </w:tc>
        <w:tc>
          <w:tcPr>
            <w:tcW w:w="1777" w:type="dxa"/>
            <w:vMerge w:val="continue"/>
            <w:tcBorders>
              <w:top w:val="single" w:color="auto" w:sz="4" w:space="0"/>
              <w:bottom w:val="single" w:color="auto" w:sz="4" w:space="0"/>
            </w:tcBorders>
            <w:noWrap w:val="0"/>
            <w:vAlign w:val="center"/>
          </w:tcPr>
          <w:p w14:paraId="0B5E7000">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rPr>
            </w:pPr>
          </w:p>
        </w:tc>
        <w:tc>
          <w:tcPr>
            <w:tcW w:w="1005" w:type="dxa"/>
            <w:vMerge w:val="continue"/>
            <w:tcBorders>
              <w:top w:val="single" w:color="auto" w:sz="4" w:space="0"/>
              <w:bottom w:val="single" w:color="auto" w:sz="4" w:space="0"/>
            </w:tcBorders>
            <w:noWrap w:val="0"/>
            <w:vAlign w:val="center"/>
          </w:tcPr>
          <w:p w14:paraId="1C1C3E11">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rPr>
            </w:pPr>
          </w:p>
        </w:tc>
        <w:tc>
          <w:tcPr>
            <w:tcW w:w="3345" w:type="dxa"/>
            <w:noWrap w:val="0"/>
            <w:vAlign w:val="center"/>
          </w:tcPr>
          <w:p w14:paraId="450BE173">
            <w:pPr>
              <w:keepNext w:val="0"/>
              <w:keepLines w:val="0"/>
              <w:widowControl/>
              <w:suppressLineNumbers w:val="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lang w:val="en-US" w:eastAsia="zh-CN" w:bidi="ar"/>
              </w:rPr>
              <w:t>位于临渭区樊李村李睿军院内，除东南侧为硬化地面外，其余侧均为房屋建筑，根部砌筑小树池面积不足0.5㎡</w:t>
            </w:r>
          </w:p>
        </w:tc>
        <w:tc>
          <w:tcPr>
            <w:tcW w:w="2037" w:type="dxa"/>
            <w:vMerge w:val="continue"/>
            <w:tcBorders>
              <w:top w:val="single" w:color="auto" w:sz="4" w:space="0"/>
              <w:bottom w:val="single" w:color="auto" w:sz="4" w:space="0"/>
            </w:tcBorders>
            <w:noWrap w:val="0"/>
            <w:vAlign w:val="center"/>
          </w:tcPr>
          <w:p w14:paraId="1C249312">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tc>
      </w:tr>
      <w:tr w14:paraId="023D1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78" w:type="dxa"/>
            <w:vMerge w:val="continue"/>
            <w:tcBorders>
              <w:top w:val="single" w:color="auto" w:sz="4" w:space="0"/>
              <w:bottom w:val="single" w:color="auto" w:sz="4" w:space="0"/>
            </w:tcBorders>
            <w:noWrap w:val="0"/>
            <w:vAlign w:val="center"/>
          </w:tcPr>
          <w:p w14:paraId="432DC369">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color w:val="000000"/>
                <w:kern w:val="0"/>
                <w:sz w:val="24"/>
                <w:szCs w:val="24"/>
                <w:highlight w:val="none"/>
                <w:lang w:val="en-US" w:eastAsia="zh-CN" w:bidi="ar"/>
              </w:rPr>
            </w:pPr>
          </w:p>
        </w:tc>
        <w:tc>
          <w:tcPr>
            <w:tcW w:w="1777" w:type="dxa"/>
            <w:vMerge w:val="continue"/>
            <w:tcBorders>
              <w:top w:val="single" w:color="auto" w:sz="4" w:space="0"/>
              <w:bottom w:val="single" w:color="auto" w:sz="4" w:space="0"/>
            </w:tcBorders>
            <w:noWrap w:val="0"/>
            <w:vAlign w:val="center"/>
          </w:tcPr>
          <w:p w14:paraId="24FBBB04">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color w:val="000000"/>
                <w:kern w:val="0"/>
                <w:sz w:val="24"/>
                <w:szCs w:val="24"/>
                <w:highlight w:val="none"/>
                <w:lang w:val="en-US" w:eastAsia="zh-CN" w:bidi="ar"/>
              </w:rPr>
            </w:pPr>
          </w:p>
        </w:tc>
        <w:tc>
          <w:tcPr>
            <w:tcW w:w="1005" w:type="dxa"/>
            <w:vMerge w:val="continue"/>
            <w:tcBorders>
              <w:top w:val="single" w:color="auto" w:sz="4" w:space="0"/>
              <w:bottom w:val="single" w:color="auto" w:sz="4" w:space="0"/>
            </w:tcBorders>
            <w:noWrap w:val="0"/>
            <w:vAlign w:val="center"/>
          </w:tcPr>
          <w:p w14:paraId="623ABB44">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color w:val="000000"/>
                <w:kern w:val="0"/>
                <w:sz w:val="24"/>
                <w:szCs w:val="24"/>
                <w:highlight w:val="none"/>
                <w:lang w:val="en-US" w:eastAsia="zh-CN" w:bidi="ar"/>
              </w:rPr>
            </w:pPr>
          </w:p>
        </w:tc>
        <w:tc>
          <w:tcPr>
            <w:tcW w:w="3345" w:type="dxa"/>
            <w:noWrap w:val="0"/>
            <w:vAlign w:val="center"/>
          </w:tcPr>
          <w:p w14:paraId="73485080">
            <w:pPr>
              <w:keepNext w:val="0"/>
              <w:keepLines w:val="0"/>
              <w:widowControl/>
              <w:suppressLineNumbers w:val="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lang w:val="en-US" w:eastAsia="zh-CN" w:bidi="ar"/>
              </w:rPr>
              <w:t>树干从中部向西南方向大幅弯曲，再向上挺拔生长，东南侧一级分枝向外延伸过长，主干内已严重空腐贯穿至分支点并有多个侧向洞，树洞内村民自发填充发泡胶，但时间久远已开始风化脱落；西南侧底部分枝已干枯死亡，东南侧分枝末端有大量枯死枝，此外树冠顶部也存在大量枯死小枝。</w:t>
            </w:r>
          </w:p>
        </w:tc>
        <w:tc>
          <w:tcPr>
            <w:tcW w:w="2037" w:type="dxa"/>
            <w:vMerge w:val="continue"/>
            <w:tcBorders>
              <w:top w:val="single" w:color="auto" w:sz="4" w:space="0"/>
              <w:bottom w:val="single" w:color="auto" w:sz="4" w:space="0"/>
            </w:tcBorders>
            <w:noWrap w:val="0"/>
            <w:vAlign w:val="center"/>
          </w:tcPr>
          <w:p w14:paraId="77DDEC88">
            <w:pPr>
              <w:keepNext w:val="0"/>
              <w:keepLines w:val="0"/>
              <w:widowControl/>
              <w:suppressLineNumbers w:val="0"/>
              <w:snapToGrid w:val="0"/>
              <w:ind w:left="0" w:leftChars="0" w:right="0" w:rightChars="0" w:firstLine="0" w:firstLineChars="0"/>
              <w:jc w:val="left"/>
              <w:rPr>
                <w:rFonts w:hint="eastAsia" w:ascii="宋体" w:hAnsi="宋体" w:eastAsia="宋体" w:cs="宋体"/>
                <w:b w:val="0"/>
                <w:bCs w:val="0"/>
                <w:color w:val="000000"/>
                <w:kern w:val="0"/>
                <w:sz w:val="24"/>
                <w:szCs w:val="24"/>
                <w:highlight w:val="none"/>
                <w:lang w:val="en-US" w:eastAsia="zh-CN" w:bidi="ar"/>
              </w:rPr>
            </w:pPr>
          </w:p>
        </w:tc>
      </w:tr>
      <w:tr w14:paraId="2BD8B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restart"/>
            <w:tcBorders>
              <w:top w:val="single" w:color="auto" w:sz="4" w:space="0"/>
              <w:bottom w:val="single" w:color="auto" w:sz="4" w:space="0"/>
            </w:tcBorders>
            <w:noWrap w:val="0"/>
            <w:vAlign w:val="center"/>
          </w:tcPr>
          <w:p w14:paraId="7BB6A609">
            <w:pPr>
              <w:keepNext w:val="0"/>
              <w:keepLines w:val="0"/>
              <w:widowControl/>
              <w:suppressLineNumbers w:val="0"/>
              <w:snapToGrid w:val="0"/>
              <w:ind w:left="0" w:leftChars="0" w:right="0" w:rightChars="0" w:firstLine="0" w:firstLineChars="0"/>
              <w:jc w:val="center"/>
              <w:rPr>
                <w:rFonts w:hint="eastAsia" w:ascii="宋体" w:hAnsi="宋体" w:eastAsia="宋体" w:cs="宋体"/>
                <w:b w:val="0"/>
                <w:bCs w:val="0"/>
                <w:sz w:val="24"/>
                <w:szCs w:val="24"/>
              </w:rPr>
            </w:pPr>
            <w:r>
              <w:rPr>
                <w:rFonts w:hint="eastAsia" w:ascii="宋体" w:hAnsi="宋体" w:eastAsia="宋体" w:cs="宋体"/>
                <w:b w:val="0"/>
                <w:bCs w:val="0"/>
                <w:color w:val="000000"/>
                <w:kern w:val="0"/>
                <w:sz w:val="24"/>
                <w:szCs w:val="24"/>
                <w:lang w:val="en-US" w:eastAsia="zh-CN" w:bidi="ar"/>
              </w:rPr>
              <w:t>杜桥办</w:t>
            </w:r>
          </w:p>
          <w:p w14:paraId="2744E8BC">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五里铺村</w:t>
            </w:r>
          </w:p>
        </w:tc>
        <w:tc>
          <w:tcPr>
            <w:tcW w:w="1777" w:type="dxa"/>
            <w:vMerge w:val="restart"/>
            <w:tcBorders>
              <w:top w:val="single" w:color="auto" w:sz="4" w:space="0"/>
              <w:bottom w:val="single" w:color="auto" w:sz="4" w:space="0"/>
            </w:tcBorders>
            <w:noWrap w:val="0"/>
            <w:vAlign w:val="center"/>
          </w:tcPr>
          <w:p w14:paraId="61C24DC0">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61050214048</w:t>
            </w:r>
          </w:p>
        </w:tc>
        <w:tc>
          <w:tcPr>
            <w:tcW w:w="1005" w:type="dxa"/>
            <w:vMerge w:val="restart"/>
            <w:tcBorders>
              <w:top w:val="single" w:color="auto" w:sz="4" w:space="0"/>
              <w:bottom w:val="single" w:color="auto" w:sz="4" w:space="0"/>
            </w:tcBorders>
            <w:noWrap w:val="0"/>
            <w:vAlign w:val="center"/>
          </w:tcPr>
          <w:p w14:paraId="24A0BD59">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color w:val="000000"/>
                <w:kern w:val="0"/>
                <w:sz w:val="24"/>
                <w:szCs w:val="24"/>
                <w:highlight w:val="none"/>
                <w:lang w:val="en-US" w:eastAsia="zh-CN" w:bidi="ar"/>
              </w:rPr>
              <w:t>国槐</w:t>
            </w:r>
          </w:p>
        </w:tc>
        <w:tc>
          <w:tcPr>
            <w:tcW w:w="3345" w:type="dxa"/>
            <w:noWrap w:val="0"/>
            <w:vAlign w:val="center"/>
          </w:tcPr>
          <w:p w14:paraId="6C2E0599">
            <w:pPr>
              <w:keepNext w:val="0"/>
              <w:keepLines w:val="0"/>
              <w:widowControl/>
              <w:suppressLineNumbers w:val="0"/>
              <w:jc w:val="left"/>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lang w:val="en-US" w:eastAsia="zh-CN" w:bidi="ar"/>
              </w:rPr>
              <w:t>树冠呈明显的 “上直下弯”不对称形态，是长期适应狭窄巷道的结果。主干从西侧建筑基部向左上方大幅伸展，在巷道上方形成天然的“树拱门”，上部树冠则向开阔的天空收拢，整体像一把撑开在巷子里的绿伞。向上生长的主干在中上部开始分叉，形成多个粗壮的主枝，再向四周延伸出多级侧枝，分枝层次清晰，老枝苍劲虬曲。树冠呈现鲜明的“枯荣交织”状态，上部枝条萌发鲜绿色新叶，弯曲主干的部分老枝叶片稀疏，甚至带有少量枯枝，这是古树活力不均的典型表现。</w:t>
            </w:r>
          </w:p>
        </w:tc>
        <w:tc>
          <w:tcPr>
            <w:tcW w:w="2037" w:type="dxa"/>
            <w:vMerge w:val="restart"/>
            <w:tcBorders>
              <w:top w:val="single" w:color="auto" w:sz="4" w:space="0"/>
              <w:bottom w:val="single" w:color="auto" w:sz="4" w:space="0"/>
            </w:tcBorders>
            <w:noWrap w:val="0"/>
            <w:vAlign w:val="center"/>
          </w:tcPr>
          <w:p w14:paraId="1472AE37">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5C39C4B5">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7E273FA7">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1546C6B8">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258F15C7">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151E843F">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3B4BE354">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57A3CC0F">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7CE12BD7">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75CD55D5">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31C96E36">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0A5DDE94">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27CEB1C3">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0809A28D">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p>
          <w:p w14:paraId="2A538229">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虫洞、腐朽部位清理防腐，树洞仿真修复；钢支撑、拉纤矫正倾斜枝干；</w:t>
            </w:r>
          </w:p>
          <w:p w14:paraId="04A11D4C">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地表杂物清理、树盘平整，改良土壤透气环境；根部复壮、营养液、叶面肥全套养护；定期药剂防治病虫害，修剪枯枝清运；</w:t>
            </w:r>
          </w:p>
          <w:p w14:paraId="741EDB0C">
            <w:pPr>
              <w:snapToGrid w:val="0"/>
              <w:spacing w:line="240" w:lineRule="auto"/>
              <w:ind w:left="0" w:leftChars="0" w:right="0" w:rightChars="0" w:firstLine="0" w:firstLineChars="0"/>
              <w:jc w:val="left"/>
              <w:rPr>
                <w:rFonts w:hint="eastAsia" w:ascii="宋体" w:hAnsi="宋体" w:eastAsia="宋体" w:cs="宋体"/>
                <w:b w:val="0"/>
                <w:bCs w:val="0"/>
                <w:sz w:val="24"/>
                <w:szCs w:val="24"/>
                <w:highlight w:val="none"/>
                <w:vertAlign w:val="baseline"/>
                <w:lang w:val="en-US" w:eastAsia="zh-CN"/>
              </w:rPr>
            </w:pPr>
            <w:r>
              <w:rPr>
                <w:rFonts w:hint="eastAsia" w:ascii="宋体" w:hAnsi="宋体" w:eastAsia="宋体" w:cs="宋体"/>
                <w:b w:val="0"/>
                <w:bCs w:val="0"/>
                <w:sz w:val="24"/>
                <w:szCs w:val="24"/>
                <w:highlight w:val="none"/>
                <w:vertAlign w:val="baseline"/>
                <w:lang w:val="en-US" w:eastAsia="zh-CN"/>
              </w:rPr>
              <w:t>全新制作安装防护围栏、古树保护标牌</w:t>
            </w:r>
          </w:p>
        </w:tc>
      </w:tr>
      <w:tr w14:paraId="7807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09F2A329">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p>
        </w:tc>
        <w:tc>
          <w:tcPr>
            <w:tcW w:w="1777" w:type="dxa"/>
            <w:vMerge w:val="continue"/>
            <w:tcBorders>
              <w:top w:val="single" w:color="auto" w:sz="4" w:space="0"/>
              <w:bottom w:val="single" w:color="auto" w:sz="4" w:space="0"/>
            </w:tcBorders>
            <w:noWrap w:val="0"/>
            <w:vAlign w:val="center"/>
          </w:tcPr>
          <w:p w14:paraId="2E0AF5B9">
            <w:pPr>
              <w:snapToGrid w:val="0"/>
              <w:spacing w:line="240" w:lineRule="auto"/>
              <w:ind w:left="0" w:leftChars="0" w:right="0" w:rightChars="0" w:firstLine="0" w:firstLineChars="0"/>
              <w:jc w:val="center"/>
              <w:rPr>
                <w:rFonts w:hint="eastAsia" w:ascii="宋体" w:hAnsi="宋体" w:eastAsia="宋体" w:cs="宋体"/>
                <w:b w:val="0"/>
                <w:bCs w:val="0"/>
                <w:sz w:val="24"/>
                <w:szCs w:val="24"/>
                <w:highlight w:val="none"/>
                <w:vertAlign w:val="baseline"/>
                <w:lang w:val="en-US" w:eastAsia="zh-CN"/>
              </w:rPr>
            </w:pPr>
          </w:p>
        </w:tc>
        <w:tc>
          <w:tcPr>
            <w:tcW w:w="1005" w:type="dxa"/>
            <w:vMerge w:val="continue"/>
            <w:tcBorders>
              <w:top w:val="single" w:color="auto" w:sz="4" w:space="0"/>
              <w:bottom w:val="single" w:color="auto" w:sz="4" w:space="0"/>
            </w:tcBorders>
            <w:noWrap w:val="0"/>
            <w:vAlign w:val="center"/>
          </w:tcPr>
          <w:p w14:paraId="33D02960">
            <w:pPr>
              <w:snapToGrid w:val="0"/>
              <w:spacing w:line="240" w:lineRule="auto"/>
              <w:ind w:left="0" w:leftChars="0" w:right="0" w:rightChars="0" w:firstLine="0" w:firstLineChars="0"/>
              <w:jc w:val="center"/>
              <w:rPr>
                <w:rFonts w:hint="eastAsia" w:ascii="宋体" w:hAnsi="宋体" w:eastAsia="宋体" w:cs="宋体"/>
                <w:b w:val="0"/>
                <w:bCs w:val="0"/>
                <w:color w:val="000000"/>
                <w:kern w:val="0"/>
                <w:sz w:val="24"/>
                <w:szCs w:val="24"/>
                <w:highlight w:val="none"/>
                <w:lang w:val="en-US" w:eastAsia="zh-CN" w:bidi="ar"/>
              </w:rPr>
            </w:pPr>
          </w:p>
        </w:tc>
        <w:tc>
          <w:tcPr>
            <w:tcW w:w="3345" w:type="dxa"/>
            <w:noWrap w:val="0"/>
            <w:vAlign w:val="center"/>
          </w:tcPr>
          <w:p w14:paraId="7D46D636">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lang w:val="en-US" w:eastAsia="zh-CN" w:bidi="ar"/>
              </w:rPr>
              <w:t>位于临渭区五里铺村，四周均为住宅建筑，东侧有一条南北向狭窄硬化村道，四周乃至树冠顶部空间都异常狭小，古树生长空间受限。</w:t>
            </w:r>
          </w:p>
        </w:tc>
        <w:tc>
          <w:tcPr>
            <w:tcW w:w="2037" w:type="dxa"/>
            <w:vMerge w:val="continue"/>
            <w:tcBorders>
              <w:top w:val="single" w:color="auto" w:sz="4" w:space="0"/>
              <w:bottom w:val="single" w:color="auto" w:sz="4" w:space="0"/>
            </w:tcBorders>
            <w:noWrap w:val="0"/>
            <w:vAlign w:val="center"/>
          </w:tcPr>
          <w:p w14:paraId="747FE02A">
            <w:pPr>
              <w:snapToGrid w:val="0"/>
              <w:spacing w:line="240" w:lineRule="auto"/>
              <w:ind w:left="0" w:leftChars="0" w:right="0" w:rightChars="0" w:firstLine="0" w:firstLineChars="0"/>
              <w:jc w:val="left"/>
              <w:rPr>
                <w:rFonts w:hint="eastAsia" w:ascii="宋体" w:hAnsi="宋体" w:eastAsia="宋体" w:cs="宋体"/>
                <w:b/>
                <w:bCs/>
                <w:sz w:val="24"/>
                <w:szCs w:val="24"/>
                <w:highlight w:val="none"/>
                <w:vertAlign w:val="baseline"/>
                <w:lang w:val="en-US" w:eastAsia="zh-CN"/>
              </w:rPr>
            </w:pPr>
          </w:p>
        </w:tc>
      </w:tr>
      <w:tr w14:paraId="55AA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78" w:type="dxa"/>
            <w:vMerge w:val="continue"/>
            <w:tcBorders>
              <w:top w:val="single" w:color="auto" w:sz="4" w:space="0"/>
              <w:bottom w:val="single" w:color="auto" w:sz="4" w:space="0"/>
            </w:tcBorders>
            <w:noWrap w:val="0"/>
            <w:vAlign w:val="center"/>
          </w:tcPr>
          <w:p w14:paraId="3E817D64">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777" w:type="dxa"/>
            <w:vMerge w:val="continue"/>
            <w:tcBorders>
              <w:top w:val="single" w:color="auto" w:sz="4" w:space="0"/>
              <w:bottom w:val="single" w:color="auto" w:sz="4" w:space="0"/>
            </w:tcBorders>
            <w:noWrap w:val="0"/>
            <w:vAlign w:val="center"/>
          </w:tcPr>
          <w:p w14:paraId="398C0718">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005" w:type="dxa"/>
            <w:vMerge w:val="continue"/>
            <w:tcBorders>
              <w:top w:val="single" w:color="auto" w:sz="4" w:space="0"/>
              <w:bottom w:val="single" w:color="auto" w:sz="4" w:space="0"/>
            </w:tcBorders>
            <w:noWrap w:val="0"/>
            <w:vAlign w:val="center"/>
          </w:tcPr>
          <w:p w14:paraId="240851F3">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3345" w:type="dxa"/>
            <w:noWrap w:val="0"/>
            <w:vAlign w:val="center"/>
          </w:tcPr>
          <w:p w14:paraId="5FD8C929">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lang w:val="en-US" w:eastAsia="zh-CN" w:bidi="ar"/>
              </w:rPr>
              <w:t>主干内已空腐贯穿至分支点，分支点处产生一处朝天洞，外部南侧与西侧树皮均已脱落木质部干腐裸露，西、北两侧有侧向贯穿洞；西北侧一级分枝仅剩约1/5树皮存活至直立小枝延伸向上生长，其余部分树皮均已脱落木质部干腐裸露；东南侧一级分枝中部存在两枝断折枯死枝，顶部树冠也存在大量枯死小枝。</w:t>
            </w:r>
          </w:p>
        </w:tc>
        <w:tc>
          <w:tcPr>
            <w:tcW w:w="2037" w:type="dxa"/>
            <w:vMerge w:val="continue"/>
            <w:tcBorders>
              <w:top w:val="single" w:color="auto" w:sz="4" w:space="0"/>
              <w:bottom w:val="single" w:color="auto" w:sz="4" w:space="0"/>
            </w:tcBorders>
            <w:noWrap w:val="0"/>
            <w:vAlign w:val="center"/>
          </w:tcPr>
          <w:p w14:paraId="4DE4E5EF">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tc>
      </w:tr>
      <w:tr w14:paraId="794D9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978" w:type="dxa"/>
            <w:vMerge w:val="continue"/>
            <w:tcBorders>
              <w:top w:val="single" w:color="auto" w:sz="4" w:space="0"/>
              <w:bottom w:val="single" w:color="auto" w:sz="4" w:space="0"/>
            </w:tcBorders>
            <w:noWrap w:val="0"/>
            <w:vAlign w:val="center"/>
          </w:tcPr>
          <w:p w14:paraId="340E052C">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777" w:type="dxa"/>
            <w:vMerge w:val="continue"/>
            <w:tcBorders>
              <w:top w:val="single" w:color="auto" w:sz="4" w:space="0"/>
              <w:bottom w:val="single" w:color="auto" w:sz="4" w:space="0"/>
            </w:tcBorders>
            <w:noWrap w:val="0"/>
            <w:vAlign w:val="center"/>
          </w:tcPr>
          <w:p w14:paraId="5B056E31">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1005" w:type="dxa"/>
            <w:vMerge w:val="continue"/>
            <w:tcBorders>
              <w:top w:val="single" w:color="auto" w:sz="4" w:space="0"/>
              <w:bottom w:val="single" w:color="auto" w:sz="4" w:space="0"/>
            </w:tcBorders>
            <w:noWrap w:val="0"/>
            <w:vAlign w:val="center"/>
          </w:tcPr>
          <w:p w14:paraId="622180B1">
            <w:pPr>
              <w:keepNext w:val="0"/>
              <w:keepLines w:val="0"/>
              <w:widowControl/>
              <w:suppressLineNumbers w:val="0"/>
              <w:snapToGrid w:val="0"/>
              <w:ind w:left="0" w:leftChars="0" w:right="0" w:rightChars="0" w:firstLine="0" w:firstLineChars="0"/>
              <w:jc w:val="center"/>
              <w:rPr>
                <w:rFonts w:hint="eastAsia" w:ascii="宋体" w:hAnsi="宋体" w:eastAsia="宋体" w:cs="宋体"/>
                <w:sz w:val="24"/>
                <w:szCs w:val="24"/>
              </w:rPr>
            </w:pPr>
          </w:p>
        </w:tc>
        <w:tc>
          <w:tcPr>
            <w:tcW w:w="3345" w:type="dxa"/>
            <w:noWrap w:val="0"/>
            <w:vAlign w:val="center"/>
          </w:tcPr>
          <w:p w14:paraId="7C2A7369">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lang w:val="en-US" w:eastAsia="zh-CN" w:bidi="ar"/>
              </w:rPr>
              <w:t>古树主干存在虫孔，历年常有食叶害虫蚜虫存在，树干有霉菌生长，古树受病虫害侵染严重。</w:t>
            </w:r>
          </w:p>
        </w:tc>
        <w:tc>
          <w:tcPr>
            <w:tcW w:w="2037" w:type="dxa"/>
            <w:vMerge w:val="continue"/>
            <w:tcBorders>
              <w:top w:val="single" w:color="auto" w:sz="4" w:space="0"/>
              <w:bottom w:val="single" w:color="auto" w:sz="4" w:space="0"/>
            </w:tcBorders>
            <w:noWrap w:val="0"/>
            <w:vAlign w:val="center"/>
          </w:tcPr>
          <w:p w14:paraId="2DEE41B6">
            <w:pPr>
              <w:keepNext w:val="0"/>
              <w:keepLines w:val="0"/>
              <w:widowControl/>
              <w:suppressLineNumbers w:val="0"/>
              <w:snapToGrid w:val="0"/>
              <w:ind w:left="0" w:leftChars="0" w:right="0" w:rightChars="0" w:firstLine="0" w:firstLineChars="0"/>
              <w:jc w:val="left"/>
              <w:rPr>
                <w:rFonts w:hint="eastAsia" w:ascii="宋体" w:hAnsi="宋体" w:eastAsia="宋体" w:cs="宋体"/>
                <w:color w:val="000000"/>
                <w:kern w:val="0"/>
                <w:sz w:val="24"/>
                <w:szCs w:val="24"/>
                <w:highlight w:val="none"/>
                <w:lang w:val="en-US" w:eastAsia="zh-CN" w:bidi="ar"/>
              </w:rPr>
            </w:pPr>
          </w:p>
        </w:tc>
      </w:tr>
    </w:tbl>
    <w:p w14:paraId="4967C5ED">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五、转让或分包</w:t>
      </w:r>
    </w:p>
    <w:p w14:paraId="63EB774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一</w:t>
      </w:r>
      <w:r>
        <w:rPr>
          <w:rFonts w:hint="eastAsia" w:ascii="宋体" w:hAnsi="宋体" w:cs="宋体"/>
          <w:kern w:val="0"/>
          <w:sz w:val="24"/>
          <w:szCs w:val="21"/>
          <w:lang w:eastAsia="zh-CN"/>
        </w:rPr>
        <w:t>）</w:t>
      </w:r>
      <w:r>
        <w:rPr>
          <w:rFonts w:hint="eastAsia" w:ascii="宋体" w:hAnsi="宋体" w:cs="宋体"/>
          <w:kern w:val="0"/>
          <w:sz w:val="24"/>
          <w:szCs w:val="21"/>
        </w:rPr>
        <w:t>本合同范围的项目服务内容，应由</w:t>
      </w:r>
      <w:r>
        <w:rPr>
          <w:rFonts w:hint="eastAsia" w:ascii="宋体" w:hAnsi="宋体" w:cs="宋体"/>
          <w:kern w:val="0"/>
          <w:sz w:val="24"/>
          <w:szCs w:val="21"/>
          <w:lang w:val="en-US" w:eastAsia="zh-CN"/>
        </w:rPr>
        <w:t>供应商</w:t>
      </w:r>
      <w:r>
        <w:rPr>
          <w:rFonts w:hint="eastAsia" w:ascii="宋体" w:hAnsi="宋体" w:cs="宋体"/>
          <w:kern w:val="0"/>
          <w:sz w:val="24"/>
          <w:szCs w:val="21"/>
        </w:rPr>
        <w:t>直接服务，不得转让他人；</w:t>
      </w:r>
    </w:p>
    <w:p w14:paraId="15BFBDF9">
      <w:pPr>
        <w:pStyle w:val="6"/>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kern w:val="0"/>
          <w:sz w:val="24"/>
          <w:szCs w:val="21"/>
          <w:lang w:val="en-US" w:eastAsia="zh-CN" w:bidi="ar-SA"/>
        </w:rPr>
      </w:pP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二</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如有转让和未经</w:t>
      </w:r>
      <w:r>
        <w:rPr>
          <w:rFonts w:hint="eastAsia" w:ascii="宋体" w:hAnsi="宋体" w:cs="宋体"/>
          <w:color w:val="auto"/>
          <w:kern w:val="0"/>
          <w:sz w:val="24"/>
          <w:szCs w:val="21"/>
          <w:lang w:val="en-US" w:eastAsia="zh-CN"/>
        </w:rPr>
        <w:t>采购人</w:t>
      </w:r>
      <w:r>
        <w:rPr>
          <w:rFonts w:hint="eastAsia" w:ascii="宋体" w:hAnsi="宋体" w:cs="宋体"/>
          <w:color w:val="auto"/>
          <w:kern w:val="0"/>
          <w:sz w:val="24"/>
          <w:szCs w:val="21"/>
        </w:rPr>
        <w:t>同意的分包行为，</w:t>
      </w:r>
      <w:r>
        <w:rPr>
          <w:rFonts w:hint="eastAsia" w:ascii="宋体" w:hAnsi="宋体" w:cs="宋体"/>
          <w:color w:val="auto"/>
          <w:kern w:val="0"/>
          <w:sz w:val="24"/>
          <w:szCs w:val="21"/>
          <w:lang w:val="en-US" w:eastAsia="zh-CN"/>
        </w:rPr>
        <w:t>采购人</w:t>
      </w:r>
      <w:r>
        <w:rPr>
          <w:rFonts w:hint="eastAsia" w:ascii="宋体" w:hAnsi="宋体" w:cs="宋体"/>
          <w:color w:val="auto"/>
          <w:kern w:val="0"/>
          <w:sz w:val="24"/>
          <w:szCs w:val="21"/>
        </w:rPr>
        <w:t>有权解除合同，并追究</w:t>
      </w:r>
      <w:r>
        <w:rPr>
          <w:rFonts w:hint="eastAsia" w:ascii="宋体" w:hAnsi="宋体" w:cs="宋体"/>
          <w:color w:val="auto"/>
          <w:kern w:val="0"/>
          <w:sz w:val="24"/>
          <w:szCs w:val="21"/>
          <w:lang w:val="en-US" w:eastAsia="zh-CN"/>
        </w:rPr>
        <w:t>供应商</w:t>
      </w:r>
      <w:r>
        <w:rPr>
          <w:rFonts w:hint="eastAsia" w:ascii="宋体" w:hAnsi="宋体" w:cs="宋体"/>
          <w:color w:val="auto"/>
          <w:kern w:val="0"/>
          <w:sz w:val="24"/>
          <w:szCs w:val="21"/>
        </w:rPr>
        <w:t>的违约责任。</w:t>
      </w:r>
    </w:p>
    <w:p w14:paraId="59050885">
      <w:pPr>
        <w:pStyle w:val="6"/>
        <w:keepNext w:val="0"/>
        <w:keepLines w:val="0"/>
        <w:pageBreakBefore w:val="0"/>
        <w:kinsoku/>
        <w:wordWrap/>
        <w:overflowPunct/>
        <w:topLinePunct w:val="0"/>
        <w:bidi w:val="0"/>
        <w:spacing w:line="500" w:lineRule="exact"/>
        <w:ind w:firstLine="465"/>
        <w:textAlignment w:val="auto"/>
        <w:rPr>
          <w:rFonts w:hint="eastAsia"/>
          <w:b/>
          <w:color w:val="auto"/>
          <w:lang w:val="en-US" w:eastAsia="zh-CN"/>
        </w:rPr>
      </w:pPr>
      <w:r>
        <w:rPr>
          <w:rFonts w:hint="eastAsia"/>
          <w:b/>
          <w:color w:val="auto"/>
          <w:lang w:val="en-US" w:eastAsia="zh-CN"/>
        </w:rPr>
        <w:t>六、采购人权利与义务</w:t>
      </w:r>
    </w:p>
    <w:p w14:paraId="45E15B25">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（一）权利</w:t>
      </w:r>
    </w:p>
    <w:p w14:paraId="0C2EA710">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（1）有权对供应商的保护工作进行监督、检查，并提出整改意见。</w:t>
      </w:r>
    </w:p>
    <w:p w14:paraId="2E3CC408">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（2）在供应商未按照合同约定履行保护义务时，有权要求供应商限期改正，若供应商拒不改正，采购人有权解除合同并追究供应商的违约责任。</w:t>
      </w:r>
    </w:p>
    <w:p w14:paraId="27B16088">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（二）义务</w:t>
      </w:r>
    </w:p>
    <w:p w14:paraId="0B936354">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（1）对供应商提供的协助保护工作给予必要的支持和配合。</w:t>
      </w:r>
    </w:p>
    <w:p w14:paraId="16FE5F7D">
      <w:pPr>
        <w:pStyle w:val="6"/>
        <w:keepNext w:val="0"/>
        <w:keepLines w:val="0"/>
        <w:pageBreakBefore w:val="0"/>
        <w:kinsoku/>
        <w:wordWrap/>
        <w:overflowPunct/>
        <w:topLinePunct w:val="0"/>
        <w:bidi w:val="0"/>
        <w:spacing w:line="500" w:lineRule="exact"/>
        <w:ind w:firstLine="465"/>
        <w:textAlignment w:val="auto"/>
        <w:rPr>
          <w:rFonts w:hint="eastAsia"/>
          <w:b/>
          <w:color w:val="auto"/>
          <w:lang w:val="en-US" w:eastAsia="zh-CN"/>
        </w:rPr>
      </w:pPr>
      <w:r>
        <w:rPr>
          <w:rFonts w:hint="eastAsia"/>
          <w:b/>
          <w:color w:val="auto"/>
          <w:lang w:val="en-US" w:eastAsia="zh-CN"/>
        </w:rPr>
        <w:t>七、供应商权利与义务</w:t>
      </w:r>
    </w:p>
    <w:p w14:paraId="61870854">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（一）权利</w:t>
      </w:r>
    </w:p>
    <w:p w14:paraId="29F68E6C">
      <w:pPr>
        <w:keepNext w:val="0"/>
        <w:keepLines w:val="0"/>
        <w:pageBreakBefore w:val="0"/>
        <w:widowControl/>
        <w:tabs>
          <w:tab w:val="left" w:pos="0"/>
          <w:tab w:val="left" w:pos="437"/>
          <w:tab w:val="left" w:pos="1311"/>
        </w:tabs>
        <w:kinsoku/>
        <w:wordWrap/>
        <w:overflowPunct/>
        <w:topLinePunct w:val="0"/>
        <w:autoSpaceDE/>
        <w:autoSpaceDN/>
        <w:bidi w:val="0"/>
        <w:adjustRightInd w:val="0"/>
        <w:snapToGrid w:val="0"/>
        <w:spacing w:line="500" w:lineRule="exact"/>
        <w:ind w:firstLine="480" w:firstLineChars="200"/>
        <w:jc w:val="left"/>
        <w:textAlignment w:val="auto"/>
        <w:rPr>
          <w:rFonts w:ascii="宋体" w:hAnsi="宋体" w:cs="宋体"/>
          <w:color w:val="auto"/>
          <w:kern w:val="0"/>
          <w:sz w:val="24"/>
          <w:szCs w:val="21"/>
        </w:rPr>
      </w:pP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1</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供应商在项目实施过程中，如采购人提供的资料不明确时，可向采购人提出书面报告。</w:t>
      </w:r>
    </w:p>
    <w:p w14:paraId="22A95F33">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ascii="宋体" w:hAnsi="宋体" w:cs="宋体"/>
          <w:color w:val="auto"/>
          <w:kern w:val="0"/>
          <w:sz w:val="24"/>
          <w:szCs w:val="21"/>
          <w:lang w:eastAsia="zh-CN"/>
        </w:rPr>
        <w:t>（</w:t>
      </w:r>
      <w:r>
        <w:rPr>
          <w:rFonts w:hint="eastAsia" w:ascii="宋体" w:hAnsi="宋体" w:cs="宋体"/>
          <w:color w:val="auto"/>
          <w:kern w:val="0"/>
          <w:sz w:val="24"/>
          <w:szCs w:val="21"/>
          <w:lang w:val="en-US" w:eastAsia="zh-CN"/>
        </w:rPr>
        <w:t>2</w:t>
      </w:r>
      <w:r>
        <w:rPr>
          <w:rFonts w:hint="eastAsia" w:ascii="宋体" w:hAnsi="宋体" w:cs="宋体"/>
          <w:color w:val="auto"/>
          <w:kern w:val="0"/>
          <w:sz w:val="24"/>
          <w:szCs w:val="21"/>
          <w:lang w:eastAsia="zh-CN"/>
        </w:rPr>
        <w:t>）</w:t>
      </w:r>
      <w:r>
        <w:rPr>
          <w:rFonts w:hint="eastAsia" w:ascii="宋体" w:hAnsi="宋体" w:cs="宋体"/>
          <w:color w:val="auto"/>
          <w:kern w:val="0"/>
          <w:sz w:val="24"/>
          <w:szCs w:val="21"/>
        </w:rPr>
        <w:t>供应商在项目实施过程中，有到项目现场勘察的权利。</w:t>
      </w:r>
    </w:p>
    <w:p w14:paraId="0C2CC3A8">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（二）义务</w:t>
      </w:r>
    </w:p>
    <w:p w14:paraId="4C43CF7C">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（1）供应商在履行本合同期间，向采购人提供与本项目有关的一切服务。</w:t>
      </w:r>
    </w:p>
    <w:p w14:paraId="37A6E202">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（2）在履行合同期间或合同规定期限内，不得泄露与本合同规定业务活动有关的保密资料。</w:t>
      </w:r>
    </w:p>
    <w:p w14:paraId="107FC37E">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（3）供应商应按照规定的委托服务范围内的项目享有管理权及服务义务。严格按照组委会统一安排和活动的时间节点高质量做好服务工作。</w:t>
      </w:r>
    </w:p>
    <w:p w14:paraId="5315AF1A">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（4）供应商应及时向采购人通告本项目服务范围内有关服务的重大事项，及时配合处理各种突发事件。</w:t>
      </w:r>
    </w:p>
    <w:p w14:paraId="5EECECA6">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（5）供应商接受项目行业管理部门及政府有关部门的指导，接受采购人的监督。</w:t>
      </w:r>
    </w:p>
    <w:p w14:paraId="7AC29340">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（6）在合同执行期间应加强服务团队人员安全教育，制定安全方案和突发事件应急预案，落实安全责任和保障措施，持证上岗，规范操作。若在活动执行过程中发生任何安全事故均由供应商承担全部责任。</w:t>
      </w:r>
    </w:p>
    <w:p w14:paraId="3A2F6F17">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（7）项目完成后，供应商应及时向采购人提供成果资料及相关文件。</w:t>
      </w:r>
    </w:p>
    <w:p w14:paraId="5B7F4671">
      <w:pPr>
        <w:pStyle w:val="6"/>
        <w:keepNext w:val="0"/>
        <w:keepLines w:val="0"/>
        <w:pageBreakBefore w:val="0"/>
        <w:kinsoku/>
        <w:wordWrap/>
        <w:overflowPunct/>
        <w:topLinePunct w:val="0"/>
        <w:bidi w:val="0"/>
        <w:spacing w:line="500" w:lineRule="exact"/>
        <w:ind w:firstLine="465"/>
        <w:textAlignment w:val="auto"/>
        <w:rPr>
          <w:rFonts w:hint="eastAsia"/>
          <w:b w:val="0"/>
          <w:bCs/>
          <w:color w:val="auto"/>
          <w:lang w:val="en-US" w:eastAsia="zh-CN"/>
        </w:rPr>
      </w:pPr>
      <w:r>
        <w:rPr>
          <w:rFonts w:hint="eastAsia"/>
          <w:b w:val="0"/>
          <w:bCs/>
          <w:color w:val="auto"/>
          <w:lang w:val="en-US" w:eastAsia="zh-CN"/>
        </w:rPr>
        <w:t>（8）不得损害古树名木及其生长环境，不得进行任何可能影响古树名木生长的行为。</w:t>
      </w:r>
    </w:p>
    <w:p w14:paraId="57CF9391">
      <w:pPr>
        <w:pStyle w:val="6"/>
        <w:keepNext w:val="0"/>
        <w:keepLines w:val="0"/>
        <w:pageBreakBefore w:val="0"/>
        <w:kinsoku/>
        <w:wordWrap/>
        <w:overflowPunct/>
        <w:topLinePunct w:val="0"/>
        <w:bidi w:val="0"/>
        <w:spacing w:line="500" w:lineRule="exact"/>
        <w:ind w:firstLine="465"/>
        <w:textAlignment w:val="auto"/>
        <w:rPr>
          <w:rFonts w:hint="eastAsia" w:eastAsia="宋体"/>
          <w:b/>
          <w:color w:val="auto"/>
          <w:lang w:val="en-US" w:eastAsia="zh-CN"/>
        </w:rPr>
      </w:pPr>
      <w:r>
        <w:rPr>
          <w:rFonts w:hint="eastAsia"/>
          <w:b/>
          <w:color w:val="auto"/>
          <w:lang w:val="en-US" w:eastAsia="zh-CN"/>
        </w:rPr>
        <w:t>八</w:t>
      </w:r>
      <w:r>
        <w:rPr>
          <w:rFonts w:hint="eastAsia"/>
          <w:b/>
          <w:color w:val="auto"/>
        </w:rPr>
        <w:t>、验收</w:t>
      </w:r>
      <w:r>
        <w:rPr>
          <w:rFonts w:hint="eastAsia"/>
          <w:b/>
          <w:color w:val="auto"/>
          <w:lang w:val="en-US" w:eastAsia="zh-CN"/>
        </w:rPr>
        <w:t>标准</w:t>
      </w:r>
    </w:p>
    <w:p w14:paraId="15D0272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一</w:t>
      </w:r>
      <w:r>
        <w:rPr>
          <w:rFonts w:hint="eastAsia" w:ascii="宋体" w:hAnsi="宋体" w:cs="宋体"/>
          <w:kern w:val="0"/>
          <w:sz w:val="24"/>
          <w:szCs w:val="21"/>
          <w:lang w:eastAsia="zh-CN"/>
        </w:rPr>
        <w:t>）</w:t>
      </w:r>
      <w:r>
        <w:rPr>
          <w:rFonts w:hint="eastAsia" w:ascii="宋体" w:hAnsi="宋体" w:cs="宋体"/>
          <w:kern w:val="0"/>
          <w:sz w:val="24"/>
          <w:szCs w:val="21"/>
        </w:rPr>
        <w:t>质量标准：达到国家及行业验收合格标准。</w:t>
      </w:r>
    </w:p>
    <w:p w14:paraId="1599F64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二</w:t>
      </w:r>
      <w:r>
        <w:rPr>
          <w:rFonts w:hint="eastAsia" w:ascii="宋体" w:hAnsi="宋体" w:cs="宋体"/>
          <w:kern w:val="0"/>
          <w:sz w:val="24"/>
          <w:szCs w:val="21"/>
          <w:lang w:eastAsia="zh-CN"/>
        </w:rPr>
        <w:t>）</w:t>
      </w:r>
      <w:r>
        <w:rPr>
          <w:rFonts w:hint="eastAsia" w:ascii="宋体" w:hAnsi="宋体" w:cs="宋体"/>
          <w:kern w:val="0"/>
          <w:sz w:val="24"/>
          <w:szCs w:val="21"/>
        </w:rPr>
        <w:t>供应商的每一项工序完成后，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w:t>
      </w:r>
    </w:p>
    <w:p w14:paraId="483F781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三</w:t>
      </w:r>
      <w:r>
        <w:rPr>
          <w:rFonts w:hint="eastAsia" w:ascii="宋体" w:hAnsi="宋体" w:cs="宋体"/>
          <w:kern w:val="0"/>
          <w:sz w:val="24"/>
          <w:szCs w:val="21"/>
          <w:lang w:eastAsia="zh-CN"/>
        </w:rPr>
        <w:t>）</w:t>
      </w:r>
      <w:r>
        <w:rPr>
          <w:rFonts w:hint="eastAsia" w:ascii="宋体" w:hAnsi="宋体" w:cs="宋体"/>
          <w:kern w:val="0"/>
          <w:sz w:val="24"/>
          <w:szCs w:val="21"/>
        </w:rPr>
        <w:t>本项目由采购人及相关部门定期对项目进行阶段性验收。</w:t>
      </w:r>
    </w:p>
    <w:p w14:paraId="67186F1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kern w:val="0"/>
          <w:sz w:val="24"/>
          <w:szCs w:val="21"/>
        </w:rPr>
      </w:pPr>
      <w:r>
        <w:rPr>
          <w:rFonts w:hint="eastAsia" w:ascii="宋体" w:hAnsi="宋体" w:cs="宋体"/>
          <w:kern w:val="0"/>
          <w:sz w:val="24"/>
          <w:szCs w:val="21"/>
          <w:lang w:eastAsia="zh-CN"/>
        </w:rPr>
        <w:t>（</w:t>
      </w:r>
      <w:r>
        <w:rPr>
          <w:rFonts w:hint="eastAsia" w:ascii="宋体" w:hAnsi="宋体" w:cs="宋体"/>
          <w:kern w:val="0"/>
          <w:sz w:val="24"/>
          <w:szCs w:val="21"/>
          <w:lang w:val="en-US" w:eastAsia="zh-CN"/>
        </w:rPr>
        <w:t>四</w:t>
      </w:r>
      <w:r>
        <w:rPr>
          <w:rFonts w:hint="eastAsia" w:ascii="宋体" w:hAnsi="宋体" w:cs="宋体"/>
          <w:kern w:val="0"/>
          <w:sz w:val="24"/>
          <w:szCs w:val="21"/>
          <w:lang w:eastAsia="zh-CN"/>
        </w:rPr>
        <w:t>）</w:t>
      </w:r>
      <w:r>
        <w:rPr>
          <w:rFonts w:hint="eastAsia" w:ascii="宋体" w:hAnsi="宋体" w:cs="宋体"/>
          <w:kern w:val="0"/>
          <w:sz w:val="24"/>
          <w:szCs w:val="21"/>
        </w:rPr>
        <w:t>验收标准：按磋商文件、磋商响应文件及澄清函、项目检查情况等综合指标进行验收。各项指标均应符合验收标准及要求。</w:t>
      </w:r>
    </w:p>
    <w:p w14:paraId="30E29E9F">
      <w:pPr>
        <w:pStyle w:val="6"/>
        <w:keepNext w:val="0"/>
        <w:keepLines w:val="0"/>
        <w:pageBreakBefore w:val="0"/>
        <w:kinsoku/>
        <w:wordWrap/>
        <w:overflowPunct/>
        <w:topLinePunct w:val="0"/>
        <w:bidi w:val="0"/>
        <w:spacing w:line="500" w:lineRule="exact"/>
        <w:ind w:firstLine="465"/>
        <w:textAlignment w:val="auto"/>
        <w:rPr>
          <w:rFonts w:hint="eastAsia" w:ascii="Times New Roman" w:hAnsi="Times New Roman" w:eastAsia="宋体" w:cs="Times New Roman"/>
          <w:b/>
          <w:color w:val="auto"/>
          <w:lang w:val="en-US" w:eastAsia="zh-CN"/>
        </w:rPr>
      </w:pPr>
      <w:r>
        <w:rPr>
          <w:rFonts w:hint="eastAsia" w:ascii="Times New Roman" w:hAnsi="Times New Roman" w:eastAsia="宋体" w:cs="Times New Roman"/>
          <w:b/>
          <w:color w:val="auto"/>
          <w:lang w:val="en-US" w:eastAsia="zh-CN"/>
        </w:rPr>
        <w:t>九、违约责任</w:t>
      </w:r>
    </w:p>
    <w:p w14:paraId="35B0315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（一）采购人未按照合同约定履行保护义务，导致古树名木受到损害的，应承担相应的法律责任，并赔偿供应商因此遭受的损失。</w:t>
      </w:r>
    </w:p>
    <w:p w14:paraId="5073A72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1"/>
        </w:rPr>
      </w:pPr>
      <w:r>
        <w:rPr>
          <w:rFonts w:hint="eastAsia" w:ascii="宋体" w:hAnsi="宋体" w:eastAsia="宋体" w:cs="宋体"/>
          <w:kern w:val="0"/>
          <w:sz w:val="24"/>
          <w:szCs w:val="21"/>
          <w:lang w:val="en-US" w:eastAsia="zh-CN"/>
        </w:rPr>
        <w:t>（二）供应商未按照合同约定履行协助保护义务，采购人有权要求供应商限期改正；若供应商拒不改正，采购人有权解除合同，并要求供应商赔偿因此造成的损失。</w:t>
      </w:r>
    </w:p>
    <w:p w14:paraId="3AE94E8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1"/>
          <w:lang w:val="en-US" w:eastAsia="zh-CN"/>
        </w:rPr>
      </w:pPr>
      <w:r>
        <w:rPr>
          <w:rFonts w:hint="eastAsia" w:ascii="宋体" w:hAnsi="宋体" w:eastAsia="宋体" w:cs="宋体"/>
          <w:kern w:val="0"/>
          <w:sz w:val="24"/>
          <w:szCs w:val="21"/>
          <w:lang w:val="en-US" w:eastAsia="zh-CN"/>
        </w:rPr>
        <w:t>（三）任何一方因不可抗力原因无法履行合同的，应及时通知对方，并在合理期限内提供相关证明文件。不可抗力事件结束后，双方应尽快协商恢复合同的履行。</w:t>
      </w:r>
    </w:p>
    <w:p w14:paraId="052534B0">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四</w:t>
      </w:r>
      <w:r>
        <w:rPr>
          <w:rFonts w:hint="eastAsia" w:ascii="宋体" w:hAnsi="宋体" w:cs="宋体"/>
          <w:bCs/>
          <w:sz w:val="24"/>
        </w:rPr>
        <w:t>）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p>
    <w:p w14:paraId="539054B8">
      <w:pPr>
        <w:keepNext w:val="0"/>
        <w:keepLines w:val="0"/>
        <w:pageBreakBefore w:val="0"/>
        <w:widowControl w:val="0"/>
        <w:kinsoku/>
        <w:wordWrap/>
        <w:overflowPunct/>
        <w:topLinePunct w:val="0"/>
        <w:autoSpaceDE w:val="0"/>
        <w:autoSpaceDN w:val="0"/>
        <w:bidi w:val="0"/>
        <w:adjustRightInd w:val="0"/>
        <w:snapToGrid w:val="0"/>
        <w:spacing w:line="500" w:lineRule="exact"/>
        <w:ind w:firstLine="480" w:firstLineChars="200"/>
        <w:textAlignment w:val="auto"/>
        <w:rPr>
          <w:rFonts w:hint="eastAsia"/>
        </w:rPr>
      </w:pPr>
      <w:r>
        <w:rPr>
          <w:rFonts w:hint="eastAsia" w:ascii="宋体" w:hAnsi="宋体" w:cs="宋体"/>
          <w:bCs/>
          <w:sz w:val="24"/>
        </w:rPr>
        <w:t>（</w:t>
      </w:r>
      <w:r>
        <w:rPr>
          <w:rFonts w:hint="eastAsia" w:ascii="宋体" w:hAnsi="宋体" w:cs="宋体"/>
          <w:bCs/>
          <w:sz w:val="24"/>
          <w:lang w:val="en-US" w:eastAsia="zh-CN"/>
        </w:rPr>
        <w:t>五</w:t>
      </w:r>
      <w:r>
        <w:rPr>
          <w:rFonts w:hint="eastAsia" w:ascii="宋体" w:hAnsi="宋体" w:cs="宋体"/>
          <w:bCs/>
          <w:sz w:val="24"/>
        </w:rPr>
        <w:t>）因供应商原因造成服务期延误（自然灾害等不可抗力除外），采购人有权从未付款项中按每日0.5‰合同价款扣除违约金，此违约以30日为限。</w:t>
      </w:r>
    </w:p>
    <w:p w14:paraId="2B25A9FF">
      <w:pPr>
        <w:pStyle w:val="6"/>
        <w:keepNext w:val="0"/>
        <w:keepLines w:val="0"/>
        <w:pageBreakBefore w:val="0"/>
        <w:kinsoku/>
        <w:wordWrap/>
        <w:overflowPunct/>
        <w:topLinePunct w:val="0"/>
        <w:bidi w:val="0"/>
        <w:spacing w:line="500" w:lineRule="exact"/>
        <w:ind w:firstLine="465"/>
        <w:textAlignment w:val="auto"/>
        <w:rPr>
          <w:rFonts w:hint="eastAsia" w:ascii="Times New Roman" w:hAnsi="Times New Roman" w:eastAsia="宋体" w:cs="Times New Roman"/>
          <w:b/>
          <w:color w:val="auto"/>
          <w:lang w:val="en-US" w:eastAsia="zh-CN"/>
        </w:rPr>
      </w:pPr>
      <w:r>
        <w:rPr>
          <w:rFonts w:hint="eastAsia" w:ascii="Times New Roman" w:hAnsi="Times New Roman" w:eastAsia="宋体" w:cs="Times New Roman"/>
          <w:b/>
          <w:color w:val="auto"/>
          <w:lang w:val="en-US" w:eastAsia="zh-CN"/>
        </w:rPr>
        <w:t>十、合同的变更与解除</w:t>
      </w:r>
    </w:p>
    <w:p w14:paraId="4338C110">
      <w:pPr>
        <w:pStyle w:val="6"/>
        <w:keepNext w:val="0"/>
        <w:keepLines w:val="0"/>
        <w:pageBreakBefore w:val="0"/>
        <w:kinsoku/>
        <w:wordWrap/>
        <w:overflowPunct/>
        <w:topLinePunct w:val="0"/>
        <w:bidi w:val="0"/>
        <w:spacing w:line="500" w:lineRule="exact"/>
        <w:ind w:firstLine="465"/>
        <w:textAlignment w:val="auto"/>
        <w:rPr>
          <w:rFonts w:hint="eastAsia" w:ascii="Times New Roman" w:hAnsi="Times New Roman" w:eastAsia="宋体" w:cs="Times New Roman"/>
          <w:b w:val="0"/>
          <w:bCs/>
          <w:color w:val="auto"/>
          <w:lang w:val="en-US" w:eastAsia="zh-CN"/>
        </w:rPr>
      </w:pPr>
      <w:r>
        <w:rPr>
          <w:rFonts w:hint="eastAsia" w:ascii="Times New Roman" w:hAnsi="Times New Roman" w:eastAsia="宋体" w:cs="Times New Roman"/>
          <w:b w:val="0"/>
          <w:bCs/>
          <w:color w:val="auto"/>
          <w:lang w:val="en-US" w:eastAsia="zh-CN"/>
        </w:rPr>
        <w:t>（一）经双方协商一致，可以对本合同的内容进行变更或补充。变更或补充的内容应以书面形式签订，并作为本合同的附件，与本合同具有同等法律效力。</w:t>
      </w:r>
    </w:p>
    <w:p w14:paraId="42207089">
      <w:pPr>
        <w:pStyle w:val="6"/>
        <w:keepNext w:val="0"/>
        <w:keepLines w:val="0"/>
        <w:pageBreakBefore w:val="0"/>
        <w:kinsoku/>
        <w:wordWrap/>
        <w:overflowPunct/>
        <w:topLinePunct w:val="0"/>
        <w:bidi w:val="0"/>
        <w:spacing w:line="500" w:lineRule="exact"/>
        <w:ind w:firstLine="465"/>
        <w:textAlignment w:val="auto"/>
        <w:rPr>
          <w:rFonts w:hint="eastAsia" w:ascii="Times New Roman" w:hAnsi="Times New Roman" w:eastAsia="宋体" w:cs="Times New Roman"/>
          <w:b w:val="0"/>
          <w:bCs/>
          <w:color w:val="auto"/>
          <w:lang w:val="en-US" w:eastAsia="zh-CN"/>
        </w:rPr>
      </w:pPr>
      <w:r>
        <w:rPr>
          <w:rFonts w:hint="eastAsia" w:ascii="Times New Roman" w:hAnsi="Times New Roman" w:eastAsia="宋体" w:cs="Times New Roman"/>
          <w:b w:val="0"/>
          <w:bCs/>
          <w:color w:val="auto"/>
          <w:lang w:val="en-US" w:eastAsia="zh-CN"/>
        </w:rPr>
        <w:t>（二）在合同履行过程中，如遇法律法规政策变化或不可抗力等特殊情况，导致合同无法继续履行的，双方可以协商解除合同。解除合同后，双方应按照实际情况进行结算。</w:t>
      </w:r>
    </w:p>
    <w:bookmarkEnd w:id="1"/>
    <w:p w14:paraId="0B256B26">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2" w:firstLineChars="200"/>
        <w:jc w:val="left"/>
        <w:textAlignment w:val="auto"/>
        <w:rPr>
          <w:rFonts w:ascii="宋体" w:hAnsi="宋体" w:cs="宋体"/>
          <w:b/>
          <w:bCs/>
          <w:kern w:val="0"/>
          <w:sz w:val="24"/>
          <w:szCs w:val="21"/>
        </w:rPr>
      </w:pPr>
      <w:r>
        <w:rPr>
          <w:rFonts w:hint="eastAsia" w:ascii="宋体" w:hAnsi="宋体" w:cs="宋体"/>
          <w:b/>
          <w:bCs/>
          <w:kern w:val="0"/>
          <w:sz w:val="24"/>
          <w:szCs w:val="21"/>
        </w:rPr>
        <w:t>十</w:t>
      </w:r>
      <w:r>
        <w:rPr>
          <w:rFonts w:hint="eastAsia" w:ascii="宋体" w:hAnsi="宋体" w:cs="宋体"/>
          <w:b/>
          <w:bCs/>
          <w:kern w:val="0"/>
          <w:sz w:val="24"/>
          <w:szCs w:val="21"/>
          <w:lang w:val="en-US" w:eastAsia="zh-CN"/>
        </w:rPr>
        <w:t>一</w:t>
      </w:r>
      <w:r>
        <w:rPr>
          <w:rFonts w:hint="eastAsia" w:ascii="宋体" w:hAnsi="宋体" w:cs="宋体"/>
          <w:b/>
          <w:bCs/>
          <w:kern w:val="0"/>
          <w:sz w:val="24"/>
          <w:szCs w:val="21"/>
        </w:rPr>
        <w:t>、诉讼</w:t>
      </w:r>
    </w:p>
    <w:p w14:paraId="113F39BF">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48" w:firstLineChars="200"/>
        <w:jc w:val="left"/>
        <w:textAlignment w:val="auto"/>
        <w:rPr>
          <w:rFonts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w:t>
      </w:r>
    </w:p>
    <w:p w14:paraId="44E0DEBC">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2" w:firstLineChars="200"/>
        <w:jc w:val="left"/>
        <w:textAlignment w:val="auto"/>
        <w:rPr>
          <w:rFonts w:ascii="宋体" w:hAnsi="宋体" w:cs="宋体"/>
          <w:b/>
          <w:bCs/>
          <w:kern w:val="0"/>
          <w:sz w:val="24"/>
          <w:szCs w:val="21"/>
        </w:rPr>
      </w:pPr>
      <w:r>
        <w:rPr>
          <w:rFonts w:hint="eastAsia" w:ascii="宋体" w:hAnsi="宋体" w:cs="宋体"/>
          <w:b/>
          <w:bCs/>
          <w:kern w:val="0"/>
          <w:sz w:val="24"/>
          <w:szCs w:val="21"/>
        </w:rPr>
        <w:t>十</w:t>
      </w:r>
      <w:r>
        <w:rPr>
          <w:rFonts w:hint="eastAsia" w:ascii="宋体" w:hAnsi="宋体" w:cs="宋体"/>
          <w:b/>
          <w:bCs/>
          <w:kern w:val="0"/>
          <w:sz w:val="24"/>
          <w:szCs w:val="21"/>
          <w:lang w:val="en-US" w:eastAsia="zh-CN"/>
        </w:rPr>
        <w:t>二</w:t>
      </w:r>
      <w:r>
        <w:rPr>
          <w:rFonts w:hint="eastAsia" w:ascii="宋体" w:hAnsi="宋体" w:cs="宋体"/>
          <w:b/>
          <w:bCs/>
          <w:kern w:val="0"/>
          <w:sz w:val="24"/>
          <w:szCs w:val="21"/>
        </w:rPr>
        <w:t>、合同生效及其它</w:t>
      </w:r>
    </w:p>
    <w:p w14:paraId="465CA8D0">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54E103EE">
      <w:pPr>
        <w:keepNext w:val="0"/>
        <w:keepLines w:val="0"/>
        <w:pageBreakBefore w:val="0"/>
        <w:widowControl/>
        <w:tabs>
          <w:tab w:val="left" w:pos="0"/>
          <w:tab w:val="left" w:pos="437"/>
          <w:tab w:val="left" w:pos="1311"/>
        </w:tabs>
        <w:kinsoku/>
        <w:wordWrap/>
        <w:overflowPunct/>
        <w:topLinePunct w:val="0"/>
        <w:bidi w:val="0"/>
        <w:adjustRightInd w:val="0"/>
        <w:snapToGrid w:val="0"/>
        <w:spacing w:line="500" w:lineRule="exact"/>
        <w:ind w:firstLine="448" w:firstLineChars="200"/>
        <w:jc w:val="left"/>
        <w:textAlignment w:val="auto"/>
        <w:rPr>
          <w:rFonts w:hint="eastAsia" w:ascii="宋体" w:hAnsi="宋体" w:cs="宋体"/>
          <w:spacing w:val="-8"/>
          <w:kern w:val="0"/>
          <w:sz w:val="24"/>
          <w:szCs w:val="21"/>
        </w:rPr>
      </w:pPr>
      <w:r>
        <w:rPr>
          <w:rFonts w:hint="eastAsia" w:ascii="宋体" w:hAnsi="宋体" w:cs="宋体"/>
          <w:spacing w:val="-8"/>
          <w:kern w:val="0"/>
          <w:sz w:val="24"/>
          <w:szCs w:val="21"/>
        </w:rPr>
        <w:t>2、本合同一式陆份，采购人、供应商各执贰份，其余相关部门各壹份。</w:t>
      </w:r>
    </w:p>
    <w:p w14:paraId="4B2DCE1E">
      <w:pPr>
        <w:pStyle w:val="6"/>
        <w:rPr>
          <w:rFonts w:hint="eastAsia" w:ascii="宋体" w:hAnsi="宋体" w:cs="宋体"/>
          <w:spacing w:val="-8"/>
          <w:kern w:val="0"/>
          <w:sz w:val="24"/>
          <w:szCs w:val="21"/>
        </w:rPr>
      </w:pPr>
    </w:p>
    <w:p w14:paraId="0462F26D"/>
    <w:p w14:paraId="35BA34E8">
      <w:pPr>
        <w:pStyle w:val="6"/>
        <w:spacing w:line="360" w:lineRule="auto"/>
        <w:ind w:firstLine="240" w:firstLineChars="100"/>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7B7433FF">
      <w:pPr>
        <w:pStyle w:val="6"/>
        <w:spacing w:line="360" w:lineRule="auto"/>
        <w:ind w:firstLine="240" w:firstLineChars="100"/>
        <w:rPr>
          <w:rFonts w:hint="eastAsia" w:ascii="宋体" w:hAnsi="宋体" w:cs="宋体"/>
          <w:color w:val="auto"/>
          <w:kern w:val="0"/>
          <w:szCs w:val="21"/>
        </w:rPr>
      </w:pPr>
    </w:p>
    <w:p w14:paraId="75F04531">
      <w:pPr>
        <w:pStyle w:val="6"/>
        <w:spacing w:line="360" w:lineRule="auto"/>
        <w:ind w:firstLine="240" w:firstLineChars="100"/>
        <w:rPr>
          <w:rFonts w:ascii="宋体" w:hAnsi="宋体" w:cs="宋体"/>
          <w:color w:val="auto"/>
          <w:kern w:val="0"/>
          <w:szCs w:val="21"/>
        </w:rPr>
      </w:pPr>
      <w:r>
        <w:rPr>
          <w:rFonts w:hint="eastAsia" w:ascii="宋体" w:hAnsi="宋体" w:cs="宋体"/>
          <w:color w:val="auto"/>
          <w:kern w:val="0"/>
          <w:szCs w:val="21"/>
        </w:rPr>
        <w:t>法定代表人                                   法定代表人</w:t>
      </w:r>
    </w:p>
    <w:p w14:paraId="6F84AB3E">
      <w:pPr>
        <w:pStyle w:val="6"/>
        <w:spacing w:line="360" w:lineRule="auto"/>
        <w:ind w:firstLine="240" w:firstLineChars="100"/>
        <w:rPr>
          <w:rFonts w:ascii="宋体" w:hAnsi="宋体" w:cs="宋体"/>
          <w:kern w:val="0"/>
          <w:sz w:val="24"/>
          <w:szCs w:val="21"/>
        </w:rPr>
      </w:pPr>
      <w:r>
        <w:rPr>
          <w:rFonts w:hint="eastAsia" w:ascii="宋体" w:hAnsi="宋体" w:cs="宋体"/>
          <w:color w:val="auto"/>
          <w:kern w:val="0"/>
          <w:szCs w:val="21"/>
        </w:rPr>
        <w:t xml:space="preserve">或委托代理人（签字或盖章）：          </w:t>
      </w:r>
      <w:r>
        <w:rPr>
          <w:rFonts w:ascii="宋体" w:hAnsi="宋体" w:cs="宋体"/>
          <w:color w:val="auto"/>
          <w:kern w:val="0"/>
          <w:szCs w:val="21"/>
        </w:rPr>
        <w:t xml:space="preserve">   </w:t>
      </w:r>
      <w:r>
        <w:rPr>
          <w:rFonts w:hint="eastAsia" w:ascii="宋体" w:hAnsi="宋体" w:cs="宋体"/>
          <w:color w:val="auto"/>
          <w:kern w:val="0"/>
          <w:szCs w:val="21"/>
        </w:rPr>
        <w:t xml:space="preserve">    或委托代理人（签字或盖章）：  </w:t>
      </w:r>
    </w:p>
    <w:p w14:paraId="7ED9CE2D">
      <w:pPr>
        <w:ind w:firstLine="720" w:firstLineChars="300"/>
        <w:rPr>
          <w:rFonts w:hint="eastAsia" w:ascii="宋体" w:hAnsi="宋体" w:cs="宋体"/>
          <w:kern w:val="0"/>
          <w:sz w:val="24"/>
          <w:szCs w:val="21"/>
        </w:rPr>
      </w:pPr>
    </w:p>
    <w:p w14:paraId="5C1A0DA6">
      <w:pPr>
        <w:ind w:firstLine="720" w:firstLineChars="300"/>
        <w:rPr>
          <w:rFonts w:hint="eastAsia"/>
        </w:rPr>
      </w:pPr>
      <w:r>
        <w:rPr>
          <w:rFonts w:hint="eastAsia" w:ascii="宋体" w:hAnsi="宋体" w:cs="宋体"/>
          <w:kern w:val="0"/>
          <w:sz w:val="24"/>
          <w:szCs w:val="21"/>
        </w:rPr>
        <w:t>年   月   日                                 年   月   日</w:t>
      </w:r>
    </w:p>
    <w:p w14:paraId="3E72F6AC">
      <w:pPr>
        <w:pStyle w:val="6"/>
        <w:rPr>
          <w:rFonts w:hint="eastAsia"/>
        </w:rPr>
      </w:pPr>
    </w:p>
    <w:p w14:paraId="32F434A0">
      <w:pPr>
        <w:rPr>
          <w:rFonts w:hint="eastAsia"/>
        </w:rPr>
      </w:pPr>
    </w:p>
    <w:p w14:paraId="351A2C15">
      <w:pPr>
        <w:pStyle w:val="6"/>
        <w:rPr>
          <w:rFonts w:hint="eastAsia"/>
        </w:rPr>
      </w:pPr>
    </w:p>
    <w:p w14:paraId="0CD9E02D">
      <w:pPr>
        <w:rPr>
          <w:rFonts w:hint="eastAsia"/>
        </w:rPr>
      </w:pPr>
    </w:p>
    <w:p w14:paraId="5BDA7E18">
      <w:pPr>
        <w:pStyle w:val="6"/>
        <w:rPr>
          <w:rFonts w:hint="eastAsia"/>
        </w:rPr>
      </w:pPr>
    </w:p>
    <w:p w14:paraId="2D982903">
      <w:pPr>
        <w:rPr>
          <w:rFonts w:hint="eastAsia"/>
        </w:rPr>
      </w:pPr>
    </w:p>
    <w:p w14:paraId="29BFB971">
      <w:pPr>
        <w:pStyle w:val="6"/>
        <w:rPr>
          <w:rFonts w:hint="eastAsia"/>
        </w:rPr>
      </w:pPr>
    </w:p>
    <w:sectPr>
      <w:footerReference r:id="rId5" w:type="default"/>
      <w:pgSz w:w="11906" w:h="16838"/>
      <w:pgMar w:top="1417" w:right="1417" w:bottom="1417" w:left="141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BD55A">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4B4BB2">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F4B4BB2">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4OGU1NTM5NjkyMGUzMjg5NzU4ZjQ2ODI5NGRiNzYifQ=="/>
  </w:docVars>
  <w:rsids>
    <w:rsidRoot w:val="19A626E2"/>
    <w:rsid w:val="000C2519"/>
    <w:rsid w:val="0020682A"/>
    <w:rsid w:val="0044263B"/>
    <w:rsid w:val="004601EB"/>
    <w:rsid w:val="00511C69"/>
    <w:rsid w:val="00594B71"/>
    <w:rsid w:val="00872670"/>
    <w:rsid w:val="00925105"/>
    <w:rsid w:val="00C0670D"/>
    <w:rsid w:val="00C54F9B"/>
    <w:rsid w:val="00E55CA2"/>
    <w:rsid w:val="00E9401A"/>
    <w:rsid w:val="00F42BA4"/>
    <w:rsid w:val="00FC2230"/>
    <w:rsid w:val="07634BFA"/>
    <w:rsid w:val="092731F7"/>
    <w:rsid w:val="19A626E2"/>
    <w:rsid w:val="1F7237CF"/>
    <w:rsid w:val="282C61C3"/>
    <w:rsid w:val="32093536"/>
    <w:rsid w:val="400F425C"/>
    <w:rsid w:val="44AC2567"/>
    <w:rsid w:val="56D05C0C"/>
    <w:rsid w:val="66F05F5A"/>
    <w:rsid w:val="74127F08"/>
    <w:rsid w:val="79144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tabs>
        <w:tab w:val="left" w:pos="432"/>
        <w:tab w:val="left" w:pos="576"/>
      </w:tabs>
      <w:ind w:left="431" w:hanging="431"/>
      <w:outlineLvl w:val="0"/>
    </w:pPr>
    <w:rPr>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6">
    <w:name w:val="Body Text"/>
    <w:basedOn w:val="1"/>
    <w:next w:val="1"/>
    <w:link w:val="19"/>
    <w:qFormat/>
    <w:uiPriority w:val="99"/>
    <w:rPr>
      <w:color w:val="993300"/>
      <w:sz w:val="24"/>
    </w:rPr>
  </w:style>
  <w:style w:type="paragraph" w:styleId="7">
    <w:name w:val="Body Text Indent"/>
    <w:basedOn w:val="1"/>
    <w:next w:val="8"/>
    <w:qFormat/>
    <w:uiPriority w:val="0"/>
    <w:pPr>
      <w:ind w:firstLine="480"/>
    </w:pPr>
    <w:rPr>
      <w:rFonts w:ascii="宋体" w:hAnsi="宋体"/>
    </w:rPr>
  </w:style>
  <w:style w:type="paragraph" w:styleId="8">
    <w:name w:val="Body Text First Indent 2"/>
    <w:basedOn w:val="7"/>
    <w:next w:val="9"/>
    <w:qFormat/>
    <w:uiPriority w:val="0"/>
    <w:pPr>
      <w:ind w:firstLine="420"/>
    </w:pPr>
  </w:style>
  <w:style w:type="paragraph" w:styleId="9">
    <w:name w:val="Body Text First Indent"/>
    <w:basedOn w:val="6"/>
    <w:qFormat/>
    <w:uiPriority w:val="0"/>
    <w:pPr>
      <w:ind w:firstLine="420" w:firstLineChars="1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13">
    <w:name w:val="table of figures"/>
    <w:basedOn w:val="1"/>
    <w:next w:val="1"/>
    <w:qFormat/>
    <w:uiPriority w:val="0"/>
    <w:pPr>
      <w:spacing w:line="360" w:lineRule="auto"/>
      <w:ind w:hanging="200"/>
    </w:pPr>
    <w:rPr>
      <w:rFonts w:ascii="宋体"/>
      <w:kern w:val="0"/>
      <w:sz w:val="20"/>
      <w:szCs w:val="20"/>
    </w:rPr>
  </w:style>
  <w:style w:type="paragraph" w:styleId="1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15">
    <w:name w:val="Title"/>
    <w:basedOn w:val="1"/>
    <w:next w:val="1"/>
    <w:qFormat/>
    <w:uiPriority w:val="0"/>
    <w:pPr>
      <w:spacing w:before="240" w:after="60"/>
      <w:jc w:val="center"/>
      <w:outlineLvl w:val="0"/>
    </w:pPr>
    <w:rPr>
      <w:rFonts w:ascii="Cambria" w:hAnsi="Cambria"/>
      <w:b/>
      <w:bCs/>
      <w:sz w:val="32"/>
      <w:szCs w:val="32"/>
    </w:rPr>
  </w:style>
  <w:style w:type="table" w:styleId="17">
    <w:name w:val="Table Grid"/>
    <w:basedOn w:val="1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正文文本 Char1"/>
    <w:link w:val="6"/>
    <w:qFormat/>
    <w:uiPriority w:val="99"/>
    <w:rPr>
      <w:rFonts w:ascii="Times New Roman" w:hAnsi="Times New Roman" w:eastAsia="宋体" w:cs="Times New Roman"/>
      <w:color w:val="993300"/>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1897</Words>
  <Characters>2044</Characters>
  <Lines>36</Lines>
  <Paragraphs>10</Paragraphs>
  <TotalTime>11</TotalTime>
  <ScaleCrop>false</ScaleCrop>
  <LinksUpToDate>false</LinksUpToDate>
  <CharactersWithSpaces>2114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2024-06-11T06:16:00Z</dcterms:created>
  <dc:creator>木木夕</dc:creator>
  <cp:lastModifiedBy>WPS_1627891939</cp:lastModifiedBy>
  <dcterms:modified xsi:type="dcterms:W3CDTF">2026-08-21T06:32:10Z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5B12312AB9E0417BA1855575BB2ED33A_13</vt:lpwstr>
  </property>
  <property fmtid="{D5CDD505-2E9C-101B-9397-08002B2CF9AE}" pid="4" name="KSOTemplateDocerSaveRecord">
    <vt:lpwstr>eyJoZGlkIjoiMmU1OTkzMmM4YmJjNTA4ZTVlNjBiODExOWZjZjRlY2MiLCJ1c2VySWQiOiIxMjQzNTI3NzU0In0=</vt:lpwstr>
  </property>
</Properties>
</file>