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CED6E">
      <w:pPr>
        <w:jc w:val="center"/>
        <w:rPr>
          <w:rFonts w:hint="eastAsia" w:ascii="仿宋_GB2312" w:hAnsi="仿宋_GB2312" w:eastAsia="仿宋_GB2312" w:cs="仿宋_GB2312"/>
          <w:b/>
          <w:bCs/>
          <w:sz w:val="44"/>
          <w:szCs w:val="52"/>
          <w:lang w:val="en-US" w:eastAsia="zh-CN"/>
        </w:rPr>
      </w:pPr>
      <w:r>
        <w:rPr>
          <w:rFonts w:hint="eastAsia" w:ascii="仿宋_GB2312" w:hAnsi="仿宋_GB2312" w:eastAsia="仿宋_GB2312" w:cs="仿宋_GB2312"/>
          <w:b/>
          <w:bCs/>
          <w:sz w:val="44"/>
          <w:szCs w:val="52"/>
          <w:lang w:val="en-US" w:eastAsia="zh-CN"/>
        </w:rPr>
        <w:t>采购需</w:t>
      </w:r>
      <w:bookmarkStart w:id="0" w:name="_GoBack"/>
      <w:bookmarkEnd w:id="0"/>
      <w:r>
        <w:rPr>
          <w:rFonts w:hint="eastAsia" w:ascii="仿宋_GB2312" w:hAnsi="仿宋_GB2312" w:eastAsia="仿宋_GB2312" w:cs="仿宋_GB2312"/>
          <w:b/>
          <w:bCs/>
          <w:sz w:val="44"/>
          <w:szCs w:val="52"/>
          <w:lang w:val="en-US" w:eastAsia="zh-CN"/>
        </w:rPr>
        <w:t>求</w:t>
      </w:r>
    </w:p>
    <w:p w14:paraId="4BC7B168">
      <w:pPr>
        <w:keepNext w:val="0"/>
        <w:keepLines w:val="0"/>
        <w:pageBreakBefore w:val="0"/>
        <w:widowControl w:val="0"/>
        <w:numPr>
          <w:ilvl w:val="0"/>
          <w:numId w:val="0"/>
        </w:numPr>
        <w:kinsoku/>
        <w:wordWrap/>
        <w:overflowPunct/>
        <w:topLinePunct w:val="0"/>
        <w:bidi w:val="0"/>
        <w:adjustRightInd w:val="0"/>
        <w:snapToGrid w:val="0"/>
        <w:spacing w:line="576" w:lineRule="exact"/>
        <w:ind w:firstLine="643" w:firstLineChars="200"/>
        <w:textAlignment w:val="auto"/>
        <w:rPr>
          <w:rFonts w:hint="eastAsia" w:ascii="仿宋_GB2312" w:hAnsi="仿宋_GB2312" w:eastAsia="仿宋_GB2312" w:cs="仿宋_GB2312"/>
          <w:b/>
          <w:sz w:val="32"/>
          <w:szCs w:val="32"/>
          <w:highlight w:val="none"/>
          <w:lang w:val="en-US" w:eastAsia="zh-CN"/>
        </w:rPr>
      </w:pPr>
      <w:r>
        <w:rPr>
          <w:rFonts w:hint="eastAsia" w:ascii="仿宋_GB2312" w:hAnsi="仿宋_GB2312" w:eastAsia="仿宋_GB2312" w:cs="仿宋_GB2312"/>
          <w:b/>
          <w:sz w:val="32"/>
          <w:szCs w:val="32"/>
          <w:highlight w:val="none"/>
          <w:lang w:val="en-US" w:eastAsia="zh-CN"/>
        </w:rPr>
        <w:t>一、项目名称</w:t>
      </w:r>
    </w:p>
    <w:p w14:paraId="3483DAE0">
      <w:pPr>
        <w:keepNext w:val="0"/>
        <w:keepLines w:val="0"/>
        <w:pageBreakBefore w:val="0"/>
        <w:widowControl w:val="0"/>
        <w:numPr>
          <w:ilvl w:val="0"/>
          <w:numId w:val="0"/>
        </w:numPr>
        <w:kinsoku/>
        <w:wordWrap/>
        <w:overflowPunct/>
        <w:topLinePunct w:val="0"/>
        <w:bidi w:val="0"/>
        <w:adjustRightInd w:val="0"/>
        <w:snapToGrid w:val="0"/>
        <w:spacing w:line="576" w:lineRule="exact"/>
        <w:ind w:firstLine="640" w:firstLineChars="200"/>
        <w:textAlignment w:val="auto"/>
        <w:rPr>
          <w:rFonts w:hint="eastAsia" w:ascii="仿宋_GB2312" w:hAnsi="仿宋_GB2312" w:eastAsia="仿宋_GB2312" w:cs="仿宋_GB2312"/>
          <w:b w:val="0"/>
          <w:bCs/>
          <w:sz w:val="32"/>
          <w:szCs w:val="32"/>
          <w:highlight w:val="none"/>
          <w:lang w:val="en-US" w:eastAsia="zh-CN"/>
        </w:rPr>
      </w:pPr>
      <w:r>
        <w:rPr>
          <w:rFonts w:hint="eastAsia" w:ascii="仿宋_GB2312" w:hAnsi="仿宋_GB2312" w:eastAsia="仿宋_GB2312" w:cs="仿宋_GB2312"/>
          <w:sz w:val="32"/>
          <w:szCs w:val="32"/>
          <w:lang w:eastAsia="zh-CN"/>
        </w:rPr>
        <w:t>西安高新区行政审批服务局建设项目环评技术服务项目</w:t>
      </w:r>
    </w:p>
    <w:p w14:paraId="35551F38">
      <w:pPr>
        <w:spacing w:line="560" w:lineRule="exact"/>
        <w:ind w:firstLine="643" w:firstLineChars="200"/>
        <w:rPr>
          <w:rFonts w:hint="eastAsia" w:ascii="仿宋_GB2312" w:hAnsi="仿宋_GB2312" w:eastAsia="仿宋_GB2312" w:cs="仿宋_GB2312"/>
          <w:b/>
          <w:color w:val="auto"/>
          <w:sz w:val="32"/>
          <w:szCs w:val="32"/>
          <w:lang w:val="en-US" w:eastAsia="zh-CN"/>
        </w:rPr>
      </w:pPr>
      <w:r>
        <w:rPr>
          <w:rFonts w:hint="eastAsia" w:ascii="仿宋_GB2312" w:hAnsi="仿宋_GB2312" w:eastAsia="仿宋_GB2312" w:cs="仿宋_GB2312"/>
          <w:b/>
          <w:color w:val="auto"/>
          <w:sz w:val="32"/>
          <w:szCs w:val="32"/>
          <w:lang w:val="en-US" w:eastAsia="zh-CN"/>
        </w:rPr>
        <w:t>二、项目依据</w:t>
      </w:r>
    </w:p>
    <w:p w14:paraId="783248CA">
      <w:pPr>
        <w:snapToGrid w:val="0"/>
        <w:spacing w:line="560" w:lineRule="exact"/>
        <w:ind w:firstLine="640" w:firstLineChars="200"/>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sz w:val="32"/>
          <w:szCs w:val="32"/>
        </w:rPr>
        <w:t>《中华人民共和国环境保护法》、《中华人民共和国环境影响评价法》、《建设项目环境保护管理条例》中相关规定。</w:t>
      </w:r>
    </w:p>
    <w:p w14:paraId="6A276AD1">
      <w:pPr>
        <w:keepNext w:val="0"/>
        <w:keepLines w:val="0"/>
        <w:pageBreakBefore w:val="0"/>
        <w:widowControl w:val="0"/>
        <w:numPr>
          <w:ilvl w:val="0"/>
          <w:numId w:val="0"/>
        </w:numPr>
        <w:kinsoku/>
        <w:wordWrap/>
        <w:overflowPunct/>
        <w:topLinePunct w:val="0"/>
        <w:bidi w:val="0"/>
        <w:adjustRightInd w:val="0"/>
        <w:snapToGrid w:val="0"/>
        <w:spacing w:line="576" w:lineRule="exact"/>
        <w:ind w:firstLine="643" w:firstLineChars="200"/>
        <w:textAlignment w:val="auto"/>
        <w:rPr>
          <w:rFonts w:hint="eastAsia" w:ascii="仿宋_GB2312" w:hAnsi="仿宋_GB2312" w:eastAsia="仿宋_GB2312" w:cs="仿宋_GB2312"/>
          <w:b/>
          <w:bCs/>
          <w:color w:val="auto"/>
          <w:sz w:val="32"/>
          <w:szCs w:val="32"/>
          <w:highlight w:val="none"/>
          <w:lang w:eastAsia="zh-CN"/>
        </w:rPr>
      </w:pPr>
      <w:r>
        <w:rPr>
          <w:rFonts w:hint="eastAsia" w:ascii="仿宋_GB2312" w:hAnsi="仿宋_GB2312" w:eastAsia="仿宋_GB2312" w:cs="仿宋_GB2312"/>
          <w:b/>
          <w:bCs/>
          <w:color w:val="auto"/>
          <w:sz w:val="32"/>
          <w:szCs w:val="32"/>
          <w:highlight w:val="none"/>
          <w:lang w:val="en-US" w:eastAsia="zh-CN"/>
        </w:rPr>
        <w:t>三</w:t>
      </w:r>
      <w:r>
        <w:rPr>
          <w:rFonts w:hint="eastAsia" w:ascii="仿宋_GB2312" w:hAnsi="仿宋_GB2312" w:eastAsia="仿宋_GB2312" w:cs="仿宋_GB2312"/>
          <w:b/>
          <w:bCs/>
          <w:color w:val="auto"/>
          <w:sz w:val="32"/>
          <w:szCs w:val="32"/>
          <w:highlight w:val="none"/>
          <w:lang w:eastAsia="zh-CN"/>
        </w:rPr>
        <w:t>、</w:t>
      </w:r>
      <w:r>
        <w:rPr>
          <w:rFonts w:hint="eastAsia" w:ascii="仿宋_GB2312" w:hAnsi="仿宋_GB2312" w:eastAsia="仿宋_GB2312" w:cs="仿宋_GB2312"/>
          <w:b/>
          <w:bCs/>
          <w:color w:val="auto"/>
          <w:sz w:val="32"/>
          <w:szCs w:val="32"/>
          <w:highlight w:val="none"/>
          <w:lang w:val="en-US" w:eastAsia="zh-CN"/>
        </w:rPr>
        <w:t>服务内容</w:t>
      </w:r>
    </w:p>
    <w:p w14:paraId="4372AAF5">
      <w:pPr>
        <w:keepNext w:val="0"/>
        <w:keepLines w:val="0"/>
        <w:pageBreakBefore w:val="0"/>
        <w:widowControl w:val="0"/>
        <w:numPr>
          <w:ilvl w:val="0"/>
          <w:numId w:val="0"/>
        </w:numPr>
        <w:kinsoku/>
        <w:wordWrap/>
        <w:overflowPunct/>
        <w:topLinePunct w:val="0"/>
        <w:bidi w:val="0"/>
        <w:adjustRightInd w:val="0"/>
        <w:snapToGrid w:val="0"/>
        <w:spacing w:line="576"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对</w:t>
      </w:r>
      <w:r>
        <w:rPr>
          <w:rFonts w:hint="eastAsia" w:ascii="仿宋_GB2312" w:hAnsi="仿宋_GB2312" w:eastAsia="仿宋_GB2312" w:cs="仿宋_GB2312"/>
          <w:i w:val="0"/>
          <w:iCs w:val="0"/>
          <w:caps w:val="0"/>
          <w:color w:val="333333"/>
          <w:spacing w:val="0"/>
          <w:sz w:val="32"/>
          <w:szCs w:val="32"/>
          <w:highlight w:val="none"/>
          <w:shd w:val="clear" w:color="auto" w:fill="FFFFFF"/>
          <w:vertAlign w:val="baseline"/>
          <w:lang w:eastAsia="zh-CN"/>
        </w:rPr>
        <w:t>西安高新技术产业开发区行政审批服务局</w:t>
      </w:r>
      <w:r>
        <w:rPr>
          <w:rFonts w:hint="eastAsia" w:ascii="仿宋_GB2312" w:hAnsi="仿宋_GB2312" w:eastAsia="仿宋_GB2312" w:cs="仿宋_GB2312"/>
          <w:b w:val="0"/>
          <w:bCs w:val="0"/>
          <w:sz w:val="32"/>
          <w:szCs w:val="32"/>
          <w:highlight w:val="none"/>
          <w:lang w:val="en-US" w:eastAsia="zh-CN"/>
        </w:rPr>
        <w:t>审批权限内建设项目环境影响评价报告审批事项提供服务，根据管辖区域内相关企业提交的申请材料，按照</w:t>
      </w:r>
      <w:r>
        <w:rPr>
          <w:rFonts w:hint="eastAsia" w:ascii="仿宋_GB2312" w:hAnsi="仿宋_GB2312" w:eastAsia="仿宋_GB2312" w:cs="仿宋_GB2312"/>
          <w:i w:val="0"/>
          <w:iCs w:val="0"/>
          <w:caps w:val="0"/>
          <w:color w:val="333333"/>
          <w:spacing w:val="0"/>
          <w:sz w:val="32"/>
          <w:szCs w:val="32"/>
          <w:highlight w:val="none"/>
          <w:shd w:val="clear" w:color="auto" w:fill="FFFFFF"/>
          <w:vertAlign w:val="baseline"/>
          <w:lang w:eastAsia="zh-CN"/>
        </w:rPr>
        <w:t>西安高新技术产业开发区行政审批服务局</w:t>
      </w:r>
      <w:r>
        <w:rPr>
          <w:rFonts w:hint="eastAsia" w:ascii="仿宋_GB2312" w:hAnsi="仿宋_GB2312" w:eastAsia="仿宋_GB2312" w:cs="仿宋_GB2312"/>
          <w:b w:val="0"/>
          <w:bCs w:val="0"/>
          <w:sz w:val="32"/>
          <w:szCs w:val="32"/>
          <w:highlight w:val="none"/>
          <w:lang w:val="en-US" w:eastAsia="zh-CN"/>
        </w:rPr>
        <w:t>的要求，组织专家进行现场踏勘、技术审核、环评报告复核等相关服务。</w:t>
      </w:r>
    </w:p>
    <w:p w14:paraId="4DFB6976">
      <w:pPr>
        <w:keepNext w:val="0"/>
        <w:keepLines w:val="0"/>
        <w:pageBreakBefore w:val="0"/>
        <w:widowControl w:val="0"/>
        <w:numPr>
          <w:ilvl w:val="0"/>
          <w:numId w:val="0"/>
        </w:numPr>
        <w:kinsoku/>
        <w:wordWrap/>
        <w:overflowPunct/>
        <w:topLinePunct w:val="0"/>
        <w:bidi w:val="0"/>
        <w:adjustRightInd w:val="0"/>
        <w:snapToGrid w:val="0"/>
        <w:spacing w:line="576"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 xml:space="preserve"> 具体服务内容有：</w:t>
      </w:r>
    </w:p>
    <w:p w14:paraId="7850AF89">
      <w:pPr>
        <w:keepNext w:val="0"/>
        <w:keepLines w:val="0"/>
        <w:pageBreakBefore w:val="0"/>
        <w:widowControl w:val="0"/>
        <w:numPr>
          <w:ilvl w:val="0"/>
          <w:numId w:val="0"/>
        </w:numPr>
        <w:kinsoku/>
        <w:wordWrap/>
        <w:overflowPunct/>
        <w:topLinePunct w:val="0"/>
        <w:bidi w:val="0"/>
        <w:adjustRightInd w:val="0"/>
        <w:snapToGrid w:val="0"/>
        <w:spacing w:line="576"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（一）根据采购人确定的会议时间、地点，联系参会专家及相关人员，主持召开技术评审或现场审核会议；</w:t>
      </w:r>
    </w:p>
    <w:p w14:paraId="3D11AE87">
      <w:pPr>
        <w:keepNext w:val="0"/>
        <w:keepLines w:val="0"/>
        <w:pageBreakBefore w:val="0"/>
        <w:widowControl w:val="0"/>
        <w:numPr>
          <w:ilvl w:val="0"/>
          <w:numId w:val="0"/>
        </w:numPr>
        <w:kinsoku/>
        <w:wordWrap/>
        <w:overflowPunct/>
        <w:topLinePunct w:val="0"/>
        <w:bidi w:val="0"/>
        <w:adjustRightInd w:val="0"/>
        <w:snapToGrid w:val="0"/>
        <w:spacing w:line="576"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（二）根据会议安排通知参会专家及其交通出行，做好专家费用付款事宜，固定专家费用标准为每个项目500.00元/人；</w:t>
      </w:r>
    </w:p>
    <w:p w14:paraId="12299313">
      <w:pPr>
        <w:keepNext w:val="0"/>
        <w:keepLines w:val="0"/>
        <w:pageBreakBefore w:val="0"/>
        <w:widowControl w:val="0"/>
        <w:numPr>
          <w:ilvl w:val="0"/>
          <w:numId w:val="0"/>
        </w:numPr>
        <w:kinsoku/>
        <w:wordWrap/>
        <w:overflowPunct/>
        <w:topLinePunct w:val="0"/>
        <w:bidi w:val="0"/>
        <w:adjustRightInd w:val="0"/>
        <w:snapToGrid w:val="0"/>
        <w:spacing w:line="576"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（三）配合采购人完成关于建设项目环评审批相关技术服务的其他相关工作。</w:t>
      </w:r>
    </w:p>
    <w:p w14:paraId="3765BD92">
      <w:pPr>
        <w:keepNext w:val="0"/>
        <w:keepLines w:val="0"/>
        <w:pageBreakBefore w:val="0"/>
        <w:widowControl w:val="0"/>
        <w:numPr>
          <w:ilvl w:val="0"/>
          <w:numId w:val="0"/>
        </w:numPr>
        <w:kinsoku/>
        <w:wordWrap/>
        <w:overflowPunct/>
        <w:topLinePunct w:val="0"/>
        <w:bidi w:val="0"/>
        <w:adjustRightInd w:val="0"/>
        <w:snapToGrid w:val="0"/>
        <w:spacing w:line="576" w:lineRule="exact"/>
        <w:ind w:firstLine="643" w:firstLineChars="200"/>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四、</w:t>
      </w:r>
      <w:r>
        <w:rPr>
          <w:rFonts w:hint="eastAsia" w:ascii="仿宋_GB2312" w:hAnsi="仿宋_GB2312" w:eastAsia="仿宋_GB2312" w:cs="仿宋_GB2312"/>
          <w:b/>
          <w:color w:val="auto"/>
          <w:sz w:val="32"/>
          <w:szCs w:val="32"/>
        </w:rPr>
        <w:t xml:space="preserve">项目服务团队和人员要求 </w:t>
      </w:r>
    </w:p>
    <w:p w14:paraId="65A63260">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 xml:space="preserve">应有健全的组织机构，有完善的内控制度和质量保证体系以及技术经济档案管理制度，有良好的服务态度和较好的社会信誉。近三年未因业务质量问题、数据泄密等各类违规行为受到有关部门处理处罚。 </w:t>
      </w:r>
    </w:p>
    <w:p w14:paraId="7DBE675A">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需为本项目设置专职负责人及业务团队（负责人必须具备环评技术服</w:t>
      </w:r>
      <w:r>
        <w:rPr>
          <w:rFonts w:hint="eastAsia" w:ascii="仿宋_GB2312" w:hAnsi="仿宋_GB2312" w:eastAsia="仿宋_GB2312" w:cs="仿宋_GB2312"/>
          <w:sz w:val="32"/>
          <w:szCs w:val="32"/>
          <w:highlight w:val="none"/>
        </w:rPr>
        <w:t>务工作三年以上经验、大学本科以上学历，持有环</w:t>
      </w:r>
      <w:r>
        <w:rPr>
          <w:rFonts w:hint="eastAsia" w:ascii="仿宋_GB2312" w:hAnsi="仿宋_GB2312" w:eastAsia="仿宋_GB2312" w:cs="仿宋_GB2312"/>
          <w:sz w:val="32"/>
          <w:szCs w:val="32"/>
        </w:rPr>
        <w:t>保工程师资格证）。在项目实施期间，项目专职负责人不得更换，如出现不可抗力原因需更换的，必须向采购人提交书面申请，并详细说明更换的原因、替代人员的简历等，经采购人同意后，方可更换。采购人保留因人员素质和能力达不到要求而更换人员或解除合同的权力。</w:t>
      </w:r>
    </w:p>
    <w:p w14:paraId="0A578A54">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供应商</w:t>
      </w:r>
      <w:r>
        <w:rPr>
          <w:rFonts w:hint="eastAsia" w:ascii="仿宋_GB2312" w:hAnsi="仿宋_GB2312" w:eastAsia="仿宋_GB2312" w:cs="仿宋_GB2312"/>
          <w:sz w:val="32"/>
          <w:szCs w:val="32"/>
        </w:rPr>
        <w:t>需熟悉陕西省、西安市环境影响评价技术评估工作流程；熟悉陕西省、西安市专家库内专家基本情况及专业类别。</w:t>
      </w:r>
    </w:p>
    <w:p w14:paraId="091B6131">
      <w:pPr>
        <w:snapToGrid w:val="0"/>
        <w:spacing w:line="560" w:lineRule="exact"/>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五、</w:t>
      </w:r>
      <w:r>
        <w:rPr>
          <w:rFonts w:hint="eastAsia" w:ascii="仿宋_GB2312" w:hAnsi="仿宋_GB2312" w:eastAsia="仿宋_GB2312" w:cs="仿宋_GB2312"/>
          <w:b/>
          <w:bCs/>
          <w:sz w:val="32"/>
          <w:szCs w:val="32"/>
        </w:rPr>
        <w:t>服务质量要求</w:t>
      </w:r>
    </w:p>
    <w:p w14:paraId="1D93A338">
      <w:pPr>
        <w:numPr>
          <w:ilvl w:val="0"/>
          <w:numId w:val="0"/>
        </w:numPr>
        <w:spacing w:line="560" w:lineRule="exact"/>
        <w:ind w:firstLine="640" w:firstLineChars="200"/>
        <w:contextualSpacing/>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及时高效。确保服务流程执行过程中的主要信息能够及时、有效地在采购人及专家之间传递。</w:t>
      </w:r>
    </w:p>
    <w:p w14:paraId="5638C420">
      <w:pPr>
        <w:numPr>
          <w:ilvl w:val="0"/>
          <w:numId w:val="0"/>
        </w:numPr>
        <w:spacing w:line="560" w:lineRule="exact"/>
        <w:ind w:firstLine="640" w:firstLineChars="200"/>
        <w:contextualSpacing/>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分工明确。服务团队工作人员要认真做好安排部署，明确自己的工作职责，积极主动，热情耐心，不推诿扯皮。</w:t>
      </w:r>
    </w:p>
    <w:p w14:paraId="7726E1D7">
      <w:pPr>
        <w:numPr>
          <w:ilvl w:val="0"/>
          <w:numId w:val="0"/>
        </w:numPr>
        <w:spacing w:line="560" w:lineRule="exact"/>
        <w:ind w:firstLine="640" w:firstLineChars="200"/>
        <w:contextualSpacing/>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公正廉洁，诚信务实，严格准守保密制度；建立有效的自我监督和完善体制，加强对服务质量的监督管理，提高服务水平和工作质量。</w:t>
      </w:r>
    </w:p>
    <w:p w14:paraId="5748DBE2">
      <w:pPr>
        <w:pStyle w:val="12"/>
        <w:keepNext w:val="0"/>
        <w:keepLines w:val="0"/>
        <w:pageBreakBefore w:val="0"/>
        <w:widowControl w:val="0"/>
        <w:numPr>
          <w:ilvl w:val="0"/>
          <w:numId w:val="0"/>
        </w:numPr>
        <w:tabs>
          <w:tab w:val="center" w:pos="4140"/>
          <w:tab w:val="right" w:pos="8300"/>
          <w:tab w:val="clear" w:pos="4153"/>
          <w:tab w:val="clear" w:pos="8306"/>
        </w:tabs>
        <w:kinsoku/>
        <w:wordWrap/>
        <w:overflowPunct/>
        <w:topLinePunct w:val="0"/>
        <w:autoSpaceDE/>
        <w:autoSpaceDN/>
        <w:bidi w:val="0"/>
        <w:snapToGrid w:val="0"/>
        <w:spacing w:line="576" w:lineRule="exact"/>
        <w:ind w:leftChars="0" w:firstLine="643" w:firstLineChars="200"/>
        <w:textAlignment w:val="auto"/>
        <w:rPr>
          <w:rFonts w:hint="eastAsia" w:ascii="仿宋_GB2312" w:hAnsi="仿宋_GB2312" w:eastAsia="仿宋_GB2312" w:cs="仿宋_GB2312"/>
          <w:b/>
          <w:bCs/>
          <w:color w:val="auto"/>
          <w:kern w:val="2"/>
          <w:sz w:val="32"/>
          <w:szCs w:val="32"/>
          <w:highlight w:val="none"/>
          <w:lang w:val="en-US" w:eastAsia="zh-CN" w:bidi="ar-SA"/>
        </w:rPr>
      </w:pPr>
      <w:r>
        <w:rPr>
          <w:rFonts w:hint="eastAsia" w:ascii="仿宋_GB2312" w:hAnsi="仿宋_GB2312" w:eastAsia="仿宋_GB2312" w:cs="仿宋_GB2312"/>
          <w:b/>
          <w:bCs/>
          <w:color w:val="auto"/>
          <w:kern w:val="2"/>
          <w:sz w:val="32"/>
          <w:szCs w:val="32"/>
          <w:highlight w:val="none"/>
          <w:lang w:val="en-US" w:eastAsia="zh-CN" w:bidi="ar-SA"/>
        </w:rPr>
        <w:t>六、本项目采购预算：200000.00元，最高限价：200000.00元</w:t>
      </w:r>
    </w:p>
    <w:p w14:paraId="38617941">
      <w:pPr>
        <w:numPr>
          <w:ilvl w:val="0"/>
          <w:numId w:val="0"/>
        </w:numPr>
        <w:spacing w:line="560" w:lineRule="exact"/>
        <w:ind w:leftChars="0" w:firstLine="643" w:firstLineChars="200"/>
        <w:contextualSpacing/>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七、服务期限</w:t>
      </w:r>
    </w:p>
    <w:p w14:paraId="46962269">
      <w:pPr>
        <w:keepNext w:val="0"/>
        <w:keepLines w:val="0"/>
        <w:pageBreakBefore w:val="0"/>
        <w:widowControl w:val="0"/>
        <w:kinsoku/>
        <w:wordWrap/>
        <w:overflowPunct/>
        <w:topLinePunct w:val="0"/>
        <w:autoSpaceDE w:val="0"/>
        <w:autoSpaceDN w:val="0"/>
        <w:bidi w:val="0"/>
        <w:adjustRightInd w:val="0"/>
        <w:snapToGrid w:val="0"/>
        <w:spacing w:line="576" w:lineRule="exact"/>
        <w:ind w:firstLine="640" w:firstLineChars="2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三年。本项目一次招标沿用三年，合同一年一签（所提供服务经采购人考核合格，且采购内容不变、采购预算有保障、服务价格不变或降低的，采购人可根据实际需要决定是否续签下一年度合同。若在合同实施过程中出现预算调整、需求变更、政策调整、上级主管部门要求或成交供应商服务无法达到采购人要求等情形，采购人有权不再续签或提前终止合同，且不承担违约责任。）</w:t>
      </w:r>
    </w:p>
    <w:p w14:paraId="1ADD01E9">
      <w:pPr>
        <w:pStyle w:val="12"/>
        <w:keepNext w:val="0"/>
        <w:keepLines w:val="0"/>
        <w:pageBreakBefore w:val="0"/>
        <w:widowControl w:val="0"/>
        <w:numPr>
          <w:ilvl w:val="0"/>
          <w:numId w:val="0"/>
        </w:numPr>
        <w:tabs>
          <w:tab w:val="center" w:pos="4140"/>
          <w:tab w:val="right" w:pos="8300"/>
          <w:tab w:val="clear" w:pos="4153"/>
          <w:tab w:val="clear" w:pos="8306"/>
        </w:tabs>
        <w:kinsoku/>
        <w:wordWrap/>
        <w:overflowPunct/>
        <w:topLinePunct w:val="0"/>
        <w:autoSpaceDE/>
        <w:autoSpaceDN/>
        <w:bidi w:val="0"/>
        <w:snapToGrid w:val="0"/>
        <w:spacing w:line="576" w:lineRule="exact"/>
        <w:ind w:leftChars="0" w:firstLine="643" w:firstLineChars="200"/>
        <w:textAlignment w:val="auto"/>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kern w:val="2"/>
          <w:sz w:val="32"/>
          <w:szCs w:val="32"/>
          <w:highlight w:val="none"/>
          <w:lang w:val="en-US" w:eastAsia="zh-CN" w:bidi="ar-SA"/>
        </w:rPr>
        <w:t>八、项目地点：西安高新区范围内，具体按照采购人要求为准。</w:t>
      </w:r>
    </w:p>
    <w:p w14:paraId="68110E7D">
      <w:pPr>
        <w:rPr>
          <w:rFonts w:hint="eastAsia" w:ascii="仿宋_GB2312" w:hAnsi="仿宋_GB2312" w:eastAsia="仿宋_GB2312" w:cs="仿宋_GB2312"/>
          <w:b/>
          <w:bCs/>
          <w:sz w:val="44"/>
          <w:szCs w:val="5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1136D"/>
    <w:multiLevelType w:val="multilevel"/>
    <w:tmpl w:val="8E31136D"/>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0A5EA1"/>
    <w:rsid w:val="2D3576C1"/>
    <w:rsid w:val="3E1E037D"/>
    <w:rsid w:val="656C55A9"/>
    <w:rsid w:val="680A5EA1"/>
    <w:rsid w:val="70113CA5"/>
    <w:rsid w:val="7A7103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5"/>
    <w:qFormat/>
    <w:uiPriority w:val="0"/>
    <w:pPr>
      <w:keepNext/>
      <w:numPr>
        <w:ilvl w:val="0"/>
        <w:numId w:val="1"/>
      </w:numPr>
      <w:spacing w:line="700" w:lineRule="exact"/>
      <w:jc w:val="center"/>
      <w:outlineLvl w:val="0"/>
    </w:pPr>
    <w:rPr>
      <w:rFonts w:ascii="黑体" w:hAnsi="黑体" w:eastAsia="宋体"/>
      <w:b/>
      <w:sz w:val="44"/>
    </w:rPr>
  </w:style>
  <w:style w:type="paragraph" w:styleId="3">
    <w:name w:val="heading 2"/>
    <w:basedOn w:val="1"/>
    <w:next w:val="1"/>
    <w:link w:val="16"/>
    <w:semiHidden/>
    <w:unhideWhenUsed/>
    <w:qFormat/>
    <w:uiPriority w:val="0"/>
    <w:pPr>
      <w:keepNext/>
      <w:numPr>
        <w:ilvl w:val="1"/>
        <w:numId w:val="1"/>
      </w:numPr>
      <w:spacing w:line="700" w:lineRule="exact"/>
      <w:outlineLvl w:val="1"/>
    </w:pPr>
    <w:rPr>
      <w:rFonts w:ascii="黑体" w:hAnsi="黑体" w:eastAsia="宋体"/>
      <w:b/>
      <w:sz w:val="44"/>
    </w:rPr>
  </w:style>
  <w:style w:type="paragraph" w:styleId="4">
    <w:name w:val="heading 3"/>
    <w:basedOn w:val="1"/>
    <w:next w:val="1"/>
    <w:semiHidden/>
    <w:unhideWhenUsed/>
    <w:qFormat/>
    <w:uiPriority w:val="0"/>
    <w:pPr>
      <w:keepNext/>
      <w:keepLines/>
      <w:numPr>
        <w:ilvl w:val="2"/>
        <w:numId w:val="1"/>
      </w:numPr>
      <w:snapToGrid w:val="0"/>
      <w:spacing w:before="260" w:beforeLines="0" w:beforeAutospacing="0" w:after="260" w:afterLines="0" w:afterAutospacing="0" w:line="300" w:lineRule="auto"/>
      <w:ind w:firstLine="403"/>
      <w:outlineLvl w:val="2"/>
    </w:pPr>
    <w:rPr>
      <w:rFonts w:eastAsia="仿宋_GB2312" w:asciiTheme="minorAscii" w:hAnsiTheme="minorAscii"/>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11">
    <w:name w:val="Body Text"/>
    <w:basedOn w:val="1"/>
    <w:qFormat/>
    <w:uiPriority w:val="99"/>
    <w:pPr>
      <w:jc w:val="left"/>
    </w:pPr>
    <w:rPr>
      <w:kern w:val="0"/>
    </w:rPr>
  </w:style>
  <w:style w:type="paragraph" w:styleId="12">
    <w:name w:val="footer"/>
    <w:basedOn w:val="1"/>
    <w:next w:val="11"/>
    <w:qFormat/>
    <w:uiPriority w:val="99"/>
    <w:pPr>
      <w:tabs>
        <w:tab w:val="center" w:pos="4153"/>
        <w:tab w:val="right" w:pos="8306"/>
      </w:tabs>
      <w:snapToGrid w:val="0"/>
      <w:jc w:val="left"/>
    </w:pPr>
    <w:rPr>
      <w:sz w:val="18"/>
      <w:szCs w:val="18"/>
    </w:rPr>
  </w:style>
  <w:style w:type="character" w:customStyle="1" w:styleId="15">
    <w:name w:val="标题 1 Char"/>
    <w:link w:val="2"/>
    <w:qFormat/>
    <w:uiPriority w:val="0"/>
    <w:rPr>
      <w:rFonts w:ascii="黑体" w:hAnsi="黑体" w:eastAsia="宋体"/>
      <w:b/>
      <w:sz w:val="44"/>
    </w:rPr>
  </w:style>
  <w:style w:type="character" w:customStyle="1" w:styleId="16">
    <w:name w:val="标题 2 Char"/>
    <w:link w:val="3"/>
    <w:qFormat/>
    <w:uiPriority w:val="0"/>
    <w:rPr>
      <w:rFonts w:ascii="黑体" w:hAnsi="黑体" w:eastAsia="宋体"/>
      <w:b/>
      <w:sz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2026-06-22T00:03:00Z</dcterms:created>
  <dc:creator>陕西华采招标有限公司</dc:creator>
  <cp:lastModifiedBy>陕西华采招标有限公司</cp:lastModifiedBy>
  <dcterms:modified xsi:type="dcterms:W3CDTF">2026-06-22T00:04:18Z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3E8B4DA88E5241E19F58E24A8B9CF5C1_11</vt:lpwstr>
  </property>
  <property fmtid="{D5CDD505-2E9C-101B-9397-08002B2CF9AE}" pid="4" name="KSOTemplateDocerSaveRecord">
    <vt:lpwstr>eyJoZGlkIjoiNzlkYjQxZmY4MWQ0ZWY2YTZhOTY1MTMyMDgzMmE0NmEiLCJ1c2VySWQiOiI5MzY1NjA0ODAifQ==</vt:lpwstr>
  </property>
</Properties>
</file>