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版本号：SXHC2026-15620260810002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秦马跃山河展制作项目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SXHC2026-156</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秦马跃山河展制作项目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秦马跃山河展制作项目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马跃山河——秦陵宝藏系列展(暂定名)”以秦陵的“马”为主角展开叙事，从生物学、历史学、考古学、情感文化四个维度，系统阐释马从家畜、战略资源到文化象征的多重身份。展览将以马的生物特性为起点，追溯秦人如何依托养马立足，逐步实现东出争霸的宏伟抱负。同时，结合考古发现与文物组合，深入剖析秦人与马之间超越工具层面的深厚情感与精神纽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采购包1（秦马跃山河展制作项目）：属于专门面向中小企业采购。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依法免税的供应商须提供相应证明文件）；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①设计资质要求：供应商具有工程设计综合资质甲级或建筑行业工程设计乙级及以上资质或建筑行业（建筑工程）专业设计乙级及以上资质或建筑装饰工程设计专项乙级及以上资质。②施工资质要求：供应商具有建筑装修装饰工程专业承包二级及以上资质，且具备有效的安全生产许可证。</w:t>
      </w:r>
    </w:p>
    <w:p>
      <w:pPr>
        <w:pStyle w:val="null3"/>
      </w:pPr>
      <w:r>
        <w:rPr>
          <w:rFonts w:ascii="仿宋_GB2312" w:hAnsi="仿宋_GB2312" w:cs="仿宋_GB2312" w:eastAsia="仿宋_GB2312"/>
        </w:rPr>
        <w:t>7、拟派项目经理资质和专业要求：证书等级：注册建造师二级及以上执业资格；专业：建筑工程专业；补充说明：具备有效的安全生产考核合格证书, 且在本单位注册，无在建项目（提供承诺书）。</w:t>
      </w:r>
    </w:p>
    <w:p>
      <w:pPr>
        <w:pStyle w:val="null3"/>
      </w:pPr>
      <w:r>
        <w:rPr>
          <w:rFonts w:ascii="仿宋_GB2312" w:hAnsi="仿宋_GB2312" w:cs="仿宋_GB2312" w:eastAsia="仿宋_GB2312"/>
        </w:rPr>
        <w:t>8、基本信息查询：供应商基本信息及项目经理的基本信息在“全国建筑市场监管公共服务平台”可查询且无不良记录。</w:t>
      </w:r>
    </w:p>
    <w:p>
      <w:pPr>
        <w:pStyle w:val="null3"/>
      </w:pPr>
      <w:r>
        <w:rPr>
          <w:rFonts w:ascii="仿宋_GB2312" w:hAnsi="仿宋_GB2312" w:cs="仿宋_GB2312" w:eastAsia="仿宋_GB2312"/>
        </w:rPr>
        <w:t>9、信誉要求：供应商未列入“失信被执行人”、“重大税收违法案件当事人名单”和“政府采购严重违法失信行为记录名单”。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踏勘时间：2026-08-17 09:30:00</w:t>
            </w:r>
          </w:p>
          <w:p>
            <w:pPr>
              <w:pStyle w:val="null3"/>
              <w:ind w:firstLine="975"/>
            </w:pPr>
            <w:r>
              <w:rPr>
                <w:rFonts w:ascii="仿宋_GB2312" w:hAnsi="仿宋_GB2312" w:cs="仿宋_GB2312" w:eastAsia="仿宋_GB2312"/>
              </w:rPr>
              <w:t>踏勘地点：秦始皇帝陵博物院西门。本项目统一组织踏勘。踏勘携带资料：已获取招标文件的回执函（系统中下载打印）、公司介绍信及踏勘联系人身份证复印件加盖公章。注：因踏勘位置特殊，参与本项目踏勘的投标人需在踏勘前一个工作日将踏勘参与人的姓名(仅限1人）、身份证号码、联系电话及公司邮箱发至1976587584@qq.com，若未发送信息或信息缺项，会导致无法入场。</w:t>
            </w:r>
          </w:p>
          <w:p>
            <w:pPr>
              <w:pStyle w:val="null3"/>
              <w:ind w:firstLine="975"/>
            </w:pPr>
            <w:r>
              <w:rPr>
                <w:rFonts w:ascii="仿宋_GB2312" w:hAnsi="仿宋_GB2312" w:cs="仿宋_GB2312" w:eastAsia="仿宋_GB2312"/>
              </w:rPr>
              <w:t>联系人：王丹妮、赵凡、张聪聪</w:t>
            </w:r>
          </w:p>
          <w:p>
            <w:pPr>
              <w:pStyle w:val="null3"/>
              <w:ind w:firstLine="975"/>
            </w:pPr>
            <w:r>
              <w:rPr>
                <w:rFonts w:ascii="仿宋_GB2312" w:hAnsi="仿宋_GB2312" w:cs="仿宋_GB2312" w:eastAsia="仿宋_GB2312"/>
              </w:rPr>
              <w:t>联系电话号码：029-61860666</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联系电话：029-68255920-804</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970,000.00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秦马跃山河展制作</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标的名称：秦马跃山河展制作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（一）项目内容</w:t>
            </w:r>
          </w:p>
          <w:p>
            <w:pPr>
              <w:pStyle w:val="null3"/>
              <w:ind w:firstLine="400"/>
            </w:pPr>
            <w:r>
              <w:rPr>
                <w:rFonts w:ascii="仿宋_GB2312" w:hAnsi="仿宋_GB2312" w:cs="仿宋_GB2312" w:eastAsia="仿宋_GB2312"/>
              </w:rPr>
              <w:t>“秦马跃山河——秦陵宝藏系列展(暂定名)”以秦陵的“马”为主角展开叙事，从生物学、历史学、考古学、情感文化四个维度，系统阐释马从家畜、战略资源到文化象征的多重身份。展览将以马的生物特性为起点，追溯秦人如何依托养马立足，逐步实现东出争霸的宏伟抱负。同时，结合考古发现与文物组合，深入剖析秦人与马之间超越工具层面的深厚情感与精神纽带。</w:t>
            </w:r>
          </w:p>
          <w:p>
            <w:pPr>
              <w:pStyle w:val="null3"/>
              <w:ind w:firstLine="400"/>
            </w:pPr>
            <w:r>
              <w:rPr>
                <w:rFonts w:ascii="仿宋_GB2312" w:hAnsi="仿宋_GB2312" w:cs="仿宋_GB2312" w:eastAsia="仿宋_GB2312"/>
              </w:rPr>
              <w:t>（二）施工范围</w:t>
            </w:r>
          </w:p>
          <w:p>
            <w:pPr>
              <w:pStyle w:val="null3"/>
              <w:ind w:firstLine="400"/>
            </w:pPr>
            <w:r>
              <w:rPr>
                <w:rFonts w:ascii="仿宋_GB2312" w:hAnsi="仿宋_GB2312" w:cs="仿宋_GB2312" w:eastAsia="仿宋_GB2312"/>
              </w:rPr>
              <w:t>秦马跃山河——秦陵宝藏系列展(暂定名)”展览设计、施工制作及布展施工范围包含室内展厅（面积约287平方米，吊顶以下高度4.4米。）及相邻室外公共区域。</w:t>
            </w:r>
          </w:p>
          <w:p>
            <w:pPr>
              <w:pStyle w:val="null3"/>
              <w:ind w:firstLine="402"/>
            </w:pPr>
            <w:r>
              <w:rPr>
                <w:rFonts w:ascii="仿宋_GB2312" w:hAnsi="仿宋_GB2312" w:cs="仿宋_GB2312" w:eastAsia="仿宋_GB2312"/>
                <w:b/>
              </w:rPr>
              <w:t>二、技术要求：</w:t>
            </w:r>
          </w:p>
          <w:p>
            <w:pPr>
              <w:pStyle w:val="null3"/>
              <w:ind w:firstLine="400"/>
            </w:pPr>
            <w:r>
              <w:rPr>
                <w:rFonts w:ascii="仿宋_GB2312" w:hAnsi="仿宋_GB2312" w:cs="仿宋_GB2312" w:eastAsia="仿宋_GB2312"/>
              </w:rPr>
              <w:t>（一）“秦马跃山河——秦陵宝藏系列展(暂定名)”展览设计、施工制作及布展由供应商根据采购人所提供的相关资料进行设计与制作；</w:t>
            </w:r>
          </w:p>
          <w:p>
            <w:pPr>
              <w:pStyle w:val="null3"/>
              <w:ind w:firstLine="400"/>
            </w:pPr>
            <w:r>
              <w:rPr>
                <w:rFonts w:ascii="仿宋_GB2312" w:hAnsi="仿宋_GB2312" w:cs="仿宋_GB2312" w:eastAsia="仿宋_GB2312"/>
              </w:rPr>
              <w:t>（二）要求展览形式设计充分响应展陈大纲，单元划分合理明晰，展陈设施设备完全针对和满足文物清单要求，设计新颖、展线清晰，能给观众带来丰富而深刻的观展体验；</w:t>
            </w:r>
          </w:p>
          <w:p>
            <w:pPr>
              <w:pStyle w:val="null3"/>
              <w:ind w:firstLine="400"/>
            </w:pPr>
            <w:r>
              <w:rPr>
                <w:rFonts w:ascii="仿宋_GB2312" w:hAnsi="仿宋_GB2312" w:cs="仿宋_GB2312" w:eastAsia="仿宋_GB2312"/>
              </w:rPr>
              <w:t>（三）供应商需按采购要求提供较为完整的设计方案（包括且不限于:平面布局图、展厅效果图、参观流线图、展柜及照明系统、图文展板等）、施工组织方案和报价清单；</w:t>
            </w:r>
          </w:p>
          <w:p>
            <w:pPr>
              <w:pStyle w:val="null3"/>
              <w:ind w:firstLine="400"/>
            </w:pPr>
            <w:r>
              <w:rPr>
                <w:rFonts w:ascii="仿宋_GB2312" w:hAnsi="仿宋_GB2312" w:cs="仿宋_GB2312" w:eastAsia="仿宋_GB2312"/>
              </w:rPr>
              <w:t>（四）成交后，采购人有权根据实际情况对成交供应商的设计方案进行论证、修改和指导，成交供应商需全面配合采购人及时修改、调整、深化。完善空间、立面、平面、照明、材料和施工细节，并按照采购人要求施工；</w:t>
            </w:r>
          </w:p>
          <w:p>
            <w:pPr>
              <w:pStyle w:val="null3"/>
              <w:ind w:firstLine="400"/>
            </w:pPr>
            <w:r>
              <w:rPr>
                <w:rFonts w:ascii="仿宋_GB2312" w:hAnsi="仿宋_GB2312" w:cs="仿宋_GB2312" w:eastAsia="仿宋_GB2312"/>
              </w:rPr>
              <w:t>（五）制作内容包含原有展厅展陈设施（隔墙、地台、展柜、多媒体设备、展板灯箱及部分电器管线等）拆除，拆除面积约为287平方米；</w:t>
            </w:r>
          </w:p>
          <w:p>
            <w:pPr>
              <w:pStyle w:val="null3"/>
              <w:ind w:firstLine="400"/>
            </w:pPr>
            <w:r>
              <w:rPr>
                <w:rFonts w:ascii="仿宋_GB2312" w:hAnsi="仿宋_GB2312" w:cs="仿宋_GB2312" w:eastAsia="仿宋_GB2312"/>
              </w:rPr>
              <w:t>（六）文物展柜的采购或制作要求结构合理，密闭良好，开启方便，同时应包含柜内文物的展托展架的设计和制作；</w:t>
            </w:r>
          </w:p>
          <w:p>
            <w:pPr>
              <w:pStyle w:val="null3"/>
              <w:ind w:firstLine="400"/>
            </w:pPr>
            <w:r>
              <w:rPr>
                <w:rFonts w:ascii="仿宋_GB2312" w:hAnsi="仿宋_GB2312" w:cs="仿宋_GB2312" w:eastAsia="仿宋_GB2312"/>
              </w:rPr>
              <w:t>（七）文物照明应采用符合博物馆文物照明级别要求的高质量灯具；</w:t>
            </w:r>
          </w:p>
          <w:p>
            <w:pPr>
              <w:pStyle w:val="null3"/>
              <w:ind w:firstLine="400"/>
            </w:pPr>
            <w:r>
              <w:rPr>
                <w:rFonts w:ascii="仿宋_GB2312" w:hAnsi="仿宋_GB2312" w:cs="仿宋_GB2312" w:eastAsia="仿宋_GB2312"/>
              </w:rPr>
              <w:t>（八）供应商负责图文版面及文物说明牌的设计制作等；</w:t>
            </w:r>
          </w:p>
          <w:p>
            <w:pPr>
              <w:pStyle w:val="null3"/>
              <w:ind w:firstLine="400"/>
            </w:pPr>
            <w:r>
              <w:rPr>
                <w:rFonts w:ascii="仿宋_GB2312" w:hAnsi="仿宋_GB2312" w:cs="仿宋_GB2312" w:eastAsia="仿宋_GB2312"/>
              </w:rPr>
              <w:t>（九）供应商需熟悉并掌握展馆、展会常用材料及技术工艺，能够积极响应并达到采购人提出的制作手段和制作要求，施工材料绿色环保、安全可靠、符合消防要求；</w:t>
            </w:r>
          </w:p>
          <w:p>
            <w:pPr>
              <w:pStyle w:val="null3"/>
              <w:ind w:firstLine="400"/>
            </w:pPr>
            <w:r>
              <w:rPr>
                <w:rFonts w:ascii="仿宋_GB2312" w:hAnsi="仿宋_GB2312" w:cs="仿宋_GB2312" w:eastAsia="仿宋_GB2312"/>
              </w:rPr>
              <w:t>（十）供应商承担视频多媒体内容及设备的制作、采购、安装和调试；</w:t>
            </w:r>
          </w:p>
          <w:p>
            <w:pPr>
              <w:pStyle w:val="null3"/>
              <w:ind w:firstLine="400"/>
            </w:pPr>
            <w:r>
              <w:rPr>
                <w:rFonts w:ascii="仿宋_GB2312" w:hAnsi="仿宋_GB2312" w:cs="仿宋_GB2312" w:eastAsia="仿宋_GB2312"/>
              </w:rPr>
              <w:t>（十一）供应商应具备展品（文物、艺术品）的布展经验，配合采购人，承担展览布展工作；</w:t>
            </w:r>
          </w:p>
          <w:p>
            <w:pPr>
              <w:pStyle w:val="null3"/>
              <w:ind w:firstLine="400"/>
            </w:pPr>
            <w:r>
              <w:rPr>
                <w:rFonts w:ascii="仿宋_GB2312" w:hAnsi="仿宋_GB2312" w:cs="仿宋_GB2312" w:eastAsia="仿宋_GB2312"/>
              </w:rPr>
              <w:t>（十二）供应商承担本展览新闻媒体发布会相关广告宣传活动背景墙搭建；</w:t>
            </w:r>
          </w:p>
          <w:p>
            <w:pPr>
              <w:pStyle w:val="null3"/>
              <w:ind w:firstLine="400"/>
            </w:pPr>
            <w:r>
              <w:rPr>
                <w:rFonts w:ascii="仿宋_GB2312" w:hAnsi="仿宋_GB2312" w:cs="仿宋_GB2312" w:eastAsia="仿宋_GB2312"/>
              </w:rPr>
              <w:t>（十三）供应商承担其他采购人要求的与展览相关的制作内容（如：海报、请柬、折页、展馆外围及文物陈列楼外立面广告等的设计与制作）；</w:t>
            </w:r>
          </w:p>
          <w:p>
            <w:pPr>
              <w:pStyle w:val="null3"/>
              <w:ind w:firstLine="400"/>
            </w:pPr>
            <w:r>
              <w:rPr>
                <w:rFonts w:ascii="仿宋_GB2312" w:hAnsi="仿宋_GB2312" w:cs="仿宋_GB2312" w:eastAsia="仿宋_GB2312"/>
              </w:rPr>
              <w:t>（十四）供应商承担本展览宣传手册的设计与制作（开本：140*200mm；纸张：157-200克环保特种纸；P数：40P；装订方式：锁线蝴蝶装；工艺：封面特种工艺；数量：100本）；</w:t>
            </w:r>
          </w:p>
          <w:p>
            <w:pPr>
              <w:pStyle w:val="null3"/>
              <w:ind w:firstLine="400"/>
            </w:pPr>
            <w:r>
              <w:rPr>
                <w:rFonts w:ascii="仿宋_GB2312" w:hAnsi="仿宋_GB2312" w:cs="仿宋_GB2312" w:eastAsia="仿宋_GB2312"/>
              </w:rPr>
              <w:t>（十五）供应商承担本展览集换式收藏卡的设计和制作（尺寸：63mm × 88mm（圆角）、芯纸：350–400g黑芯纸/白卡纸，坚挺耐折、表面：双面覆哑膜/亮膜，防刮防水、基础：四色胶印+覆膜、特种工艺：烫金、烫银、镭射闪膜、UV上光、击凸、滴胶、光刻（金属）、数量：一套10张，共100套);</w:t>
            </w:r>
          </w:p>
          <w:p>
            <w:pPr>
              <w:pStyle w:val="null3"/>
              <w:ind w:firstLine="400"/>
            </w:pPr>
            <w:r>
              <w:rPr>
                <w:rFonts w:ascii="仿宋_GB2312" w:hAnsi="仿宋_GB2312" w:cs="仿宋_GB2312" w:eastAsia="仿宋_GB2312"/>
              </w:rPr>
              <w:t>（十六）供应商承担展览撤展（包含所有展陈设施的拆除）；</w:t>
            </w:r>
          </w:p>
          <w:p>
            <w:pPr>
              <w:pStyle w:val="null3"/>
              <w:ind w:firstLine="402"/>
            </w:pPr>
            <w:r>
              <w:rPr>
                <w:rFonts w:ascii="仿宋_GB2312" w:hAnsi="仿宋_GB2312" w:cs="仿宋_GB2312" w:eastAsia="仿宋_GB2312"/>
                <w:b/>
              </w:rPr>
              <w:t>三、商务要求</w:t>
            </w:r>
          </w:p>
          <w:p>
            <w:pPr>
              <w:pStyle w:val="null3"/>
              <w:ind w:firstLine="400"/>
            </w:pPr>
            <w:r>
              <w:rPr>
                <w:rFonts w:ascii="仿宋_GB2312" w:hAnsi="仿宋_GB2312" w:cs="仿宋_GB2312" w:eastAsia="仿宋_GB2312"/>
              </w:rPr>
              <w:t>（一）工期：自合同签订之日起45个日历天。</w:t>
            </w:r>
          </w:p>
          <w:p>
            <w:pPr>
              <w:pStyle w:val="null3"/>
              <w:ind w:firstLine="400"/>
            </w:pPr>
            <w:r>
              <w:rPr>
                <w:rFonts w:ascii="仿宋_GB2312" w:hAnsi="仿宋_GB2312" w:cs="仿宋_GB2312" w:eastAsia="仿宋_GB2312"/>
              </w:rPr>
              <w:t>（二）工程地点：秦始皇帝陵博物院陈列厅。</w:t>
            </w:r>
          </w:p>
          <w:p>
            <w:pPr>
              <w:pStyle w:val="null3"/>
              <w:ind w:firstLine="400"/>
            </w:pPr>
            <w:r>
              <w:rPr>
                <w:rFonts w:ascii="仿宋_GB2312" w:hAnsi="仿宋_GB2312" w:cs="仿宋_GB2312" w:eastAsia="仿宋_GB2312"/>
              </w:rPr>
              <w:t>（三）工程质量标准：达到国家现行施工验收规范“合格”标准。</w:t>
            </w:r>
          </w:p>
          <w:p>
            <w:pPr>
              <w:pStyle w:val="null3"/>
              <w:ind w:firstLine="400"/>
            </w:pPr>
            <w:r>
              <w:rPr>
                <w:rFonts w:ascii="仿宋_GB2312" w:hAnsi="仿宋_GB2312" w:cs="仿宋_GB2312" w:eastAsia="仿宋_GB2312"/>
              </w:rPr>
              <w:t>（四）本项目保修期为展览竣工验收至展览结束。</w:t>
            </w:r>
          </w:p>
          <w:p>
            <w:pPr>
              <w:pStyle w:val="null3"/>
              <w:ind w:firstLine="400"/>
            </w:pPr>
            <w:r>
              <w:rPr>
                <w:rFonts w:ascii="仿宋_GB2312" w:hAnsi="仿宋_GB2312" w:cs="仿宋_GB2312" w:eastAsia="仿宋_GB2312"/>
              </w:rPr>
              <w:t>（五）附件 ：</w:t>
            </w:r>
          </w:p>
          <w:p>
            <w:pPr>
              <w:pStyle w:val="null3"/>
              <w:ind w:firstLine="400"/>
            </w:pPr>
            <w:r>
              <w:rPr>
                <w:rFonts w:ascii="仿宋_GB2312" w:hAnsi="仿宋_GB2312" w:cs="仿宋_GB2312" w:eastAsia="仿宋_GB2312"/>
              </w:rPr>
              <w:t>1、展陈大纲及展品清单</w:t>
            </w:r>
          </w:p>
          <w:p>
            <w:pPr>
              <w:pStyle w:val="null3"/>
              <w:ind w:firstLine="400"/>
            </w:pPr>
            <w:r>
              <w:rPr>
                <w:rFonts w:ascii="仿宋_GB2312" w:hAnsi="仿宋_GB2312" w:cs="仿宋_GB2312" w:eastAsia="仿宋_GB2312"/>
              </w:rPr>
              <w:t>2、展厅原始图纸</w:t>
            </w:r>
          </w:p>
          <w:p>
            <w:pPr>
              <w:pStyle w:val="null3"/>
              <w:ind w:firstLine="402"/>
            </w:pPr>
            <w:r>
              <w:rPr>
                <w:rFonts w:ascii="仿宋_GB2312" w:hAnsi="仿宋_GB2312" w:cs="仿宋_GB2312" w:eastAsia="仿宋_GB2312"/>
                <w:b/>
              </w:rPr>
              <w:t>四、其他要求</w:t>
            </w:r>
          </w:p>
          <w:p>
            <w:pPr>
              <w:pStyle w:val="null3"/>
              <w:ind w:firstLine="402"/>
            </w:pPr>
            <w:r>
              <w:rPr>
                <w:rFonts w:ascii="仿宋_GB2312" w:hAnsi="仿宋_GB2312" w:cs="仿宋_GB2312" w:eastAsia="仿宋_GB2312"/>
              </w:rPr>
              <w:t>展览为设计施工一体化项目。供应商须提交完整展陈设计方案，方案包含且不限于展陈空间规划、参观流线设计、空间视觉设计、分区展陈方案、重点展项专项设计、照明、多媒体等专项系统设计等；配套图纸包含但不限于效果图、平面布置图、流线分析图、立面图、施工详图。所有图纸深度须达到施工落地标准，供应商须以自行绘制并提交的全套施工图纸及设计方案为编制依据，提交对应的工程预算清单，预算清单需与设计方案、施工图纸关联且保持一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1、本次采购采用总价包干方式，供应商可根据自身情况进行响应，不得转包或将其自行分解。 2、本项目投标报价包括包含人工、材料、机械、措施、保险、管理、风险、利润、规费及税费等所有工程相关费用，任何有选择的报价将不予接受，否则按无效响应处理。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其他补充事宜：1、本项目所属行业为：建筑业（根据《中小企业划型标准规定》（工信部联企业〔2011〕300号），建筑业划分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4、本项目须缴纳投标保证金额详见“第二章 供应商须知”，投标保证金须在响应文件递交截止时间前到账。5、以银行转账缴纳保证金的，应从其公户转出，必须写明“SXHC2026-156项目投标保证金”，便于财务部查询登记。6、未成交供应商的投标保证金，在成交通知书发出之日起5个工作日内退还；成交供应商的投标保证金在合同签订之日5个工作日内退还。7、下列情况发生，保证金将不予退还：（1）供应商在响应文件中提供虚假材料的；（2）除因不可抗力或磋商文件认可的情形以外，成交供应商不与采购人签订合同的；（3）成交供应商将中标项目转让给他人，或者在响应文件中未说明且未经采购人同意将中标项目分包给他人的；（4）供应商相互串通投标或者与采购人串通投标的，向采购人或者评标委员会成员行贿谋取中标的，以他人名义投标或者以其他方式弄虚作假骗取中标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 （以上内容响应文件中提供复印件或扫描件并进行电子签章）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依法免税的供应商须提供相应证明文件）；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设计资质要求：供应商具有工程设计综合资质甲级或建筑行业工程设计乙级及以上资质或建筑行业（建筑工程）专业设计乙级及以上资质或建筑装饰工程设计专项乙级及以上资质。②施工资质要求：供应商具有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证书等级：注册建造师二级及以上执业资格；专业：建筑工程专业；补充说明：具备有效的安全生产考核合格证书, 且在本单位注册，无在建项目（提供承诺书）。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供应商基本信息及项目经理的基本信息在“全国建筑市场监管公共服务平台”可查询且无不良记录。</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签署、盖章 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内容至少包括①项目整体理解和分析；②整体布局设计方案；③展览空间规划及影像、多媒体与辅助展项设计；④专项设计（包含平面设计、展柜及柜内陈列设计、灯光照明设计、施工图设计等）；⑤重点、难点分析及解决措施等。 以上内容专门针对本项目，且符合本项目实际需求的得30分，未提供不得分，每缺一项扣6分，评审内容有瑕疵的根据情况扣分，扣完为止。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布展总体实施方案；②多媒体系统布置方案；③场景搭建方案；④陈列布展方案；⑤展厅视频拍摄及制作方案；⑥宣传物料制作方案；⑦巡展活动策划及宣传实施方案等。以上内容专门针对本项目，且符合本项目实际需求的得7分，未提供不得分，每缺一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施工组织设计及技术方案</w:t>
            </w:r>
          </w:p>
        </w:tc>
        <w:tc>
          <w:tcPr>
            <w:tcW w:type="dxa" w:w="2492"/>
          </w:tcPr>
          <w:p>
            <w:pPr>
              <w:pStyle w:val="null3"/>
            </w:pPr>
            <w:r>
              <w:rPr>
                <w:rFonts w:ascii="仿宋_GB2312" w:hAnsi="仿宋_GB2312" w:cs="仿宋_GB2312" w:eastAsia="仿宋_GB2312"/>
              </w:rPr>
              <w:t>内容至少包括①施工方案及技术措施；②项目管理及团队组织人员配置明细；③安全管理及安全文明施工措施；④质量管理及组织措施；⑤施工部署与进度计划；⑥环境保护管理及组织措施；⑦施工机械配置和材料投入计划及劳动力安排计划；⑧使用新材料、新技术、新工艺及节能环保措施等。以上内容专门针对本项目，且符合本项目实际需求的得8分，未提供不得分，每缺一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项目团队-项目经理</w:t>
            </w:r>
          </w:p>
        </w:tc>
        <w:tc>
          <w:tcPr>
            <w:tcW w:type="dxa" w:w="2492"/>
          </w:tcPr>
          <w:p>
            <w:pPr>
              <w:pStyle w:val="null3"/>
            </w:pPr>
            <w:r>
              <w:rPr>
                <w:rFonts w:ascii="仿宋_GB2312" w:hAnsi="仿宋_GB2312" w:cs="仿宋_GB2312" w:eastAsia="仿宋_GB2312"/>
              </w:rPr>
              <w:t>1.经验要求（3分） 提供项目经理类似项目业绩得1分，满分3分。 赋分依据：须提供被服务单位加盖公章的证明材料，不提供或缺漏项不得分。 2.证书要求（3分） 提供中级职称，得2分；提供高级及以上职称，得3分。 备注：除上述赋分依据外，还须同时提供供应商为项目经理缴纳的近六个月内至少连续三个月的社保缴纳证明材料（成立时间至提交响应文件截止时间不足六个月的供应商，可提供成立后任意一个月的社保缴纳证明材料），不提供或缺漏项本大项(6分)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内容至少包括①针对突发事件和重大业务时间节点的风险防范措施；②应急突发事件的处理措施等。以上内容专门针对本项目，且符合本项目实际需求的得4分，未提供不得分，每缺一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保修承诺及措施</w:t>
            </w:r>
          </w:p>
        </w:tc>
        <w:tc>
          <w:tcPr>
            <w:tcW w:type="dxa" w:w="2492"/>
          </w:tcPr>
          <w:p>
            <w:pPr>
              <w:pStyle w:val="null3"/>
            </w:pPr>
            <w:r>
              <w:rPr>
                <w:rFonts w:ascii="仿宋_GB2312" w:hAnsi="仿宋_GB2312" w:cs="仿宋_GB2312" w:eastAsia="仿宋_GB2312"/>
              </w:rPr>
              <w:t>内容至少包括：①售后保障工作服务方案；②售后保障工作计划；③质量保修措施；④保修团队人员配备并具备相关资格证书；⑤对工程维修服务响应时限有明确的承诺。以上内容专门针对本项目，且符合本项目实际需求的得5分，未提供不得分，每缺一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供应商具有2023年06月01日至今(以合同签订时间为准）的类似项目业绩，每提供一项得2分，满分10分。 需同时提供完整合同业绩及对应发票（合同期内任意一张即可）复印件。不提供或缺项不得分。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 磋商报价得分=（磋商基准价/最后报价）×价格权值×100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