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BE9FC">
      <w:pPr>
        <w:numPr>
          <w:ilvl w:val="0"/>
          <w:numId w:val="1"/>
        </w:numPr>
        <w:autoSpaceDE w:val="0"/>
        <w:autoSpaceDN w:val="0"/>
        <w:adjustRightInd w:val="0"/>
        <w:snapToGrid w:val="0"/>
        <w:spacing w:line="700" w:lineRule="exact"/>
        <w:jc w:val="center"/>
        <w:outlineLvl w:val="0"/>
        <w:rPr>
          <w:rFonts w:hint="eastAsia" w:ascii="宋体" w:hAnsi="宋体" w:cs="宋体"/>
          <w:b/>
          <w:bCs/>
          <w:sz w:val="44"/>
          <w:szCs w:val="44"/>
          <w:lang w:val="zh-CN"/>
        </w:rPr>
      </w:pPr>
      <w:r>
        <w:rPr>
          <w:rFonts w:hint="eastAsia" w:ascii="宋体" w:hAnsi="宋体" w:cs="宋体"/>
          <w:b/>
          <w:bCs/>
          <w:sz w:val="44"/>
          <w:szCs w:val="44"/>
          <w:lang w:val="en-US" w:eastAsia="zh-CN"/>
        </w:rPr>
        <w:t xml:space="preserve"> </w:t>
      </w:r>
      <w:r>
        <w:rPr>
          <w:rFonts w:hint="eastAsia" w:ascii="宋体" w:hAnsi="宋体" w:cs="宋体"/>
          <w:b/>
          <w:bCs/>
          <w:sz w:val="44"/>
          <w:szCs w:val="44"/>
          <w:lang w:val="zh-CN"/>
        </w:rPr>
        <w:t xml:space="preserve"> 拟签订的合同条款文本</w:t>
      </w:r>
    </w:p>
    <w:p w14:paraId="37EC95B3">
      <w:pPr>
        <w:spacing w:line="560" w:lineRule="exact"/>
        <w:ind w:firstLine="420" w:firstLineChars="200"/>
        <w:rPr>
          <w:rFonts w:ascii="宋体" w:hAnsi="宋体" w:cs="宋体"/>
        </w:rPr>
      </w:pPr>
      <w:bookmarkStart w:id="0" w:name="_Toc100219616"/>
    </w:p>
    <w:bookmarkEnd w:id="0"/>
    <w:p w14:paraId="12BBFDBF">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 xml:space="preserve">甲方（采购人）： </w:t>
      </w:r>
    </w:p>
    <w:p w14:paraId="7056D8D3">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 xml:space="preserve">乙方（成交供应商）： </w:t>
      </w:r>
    </w:p>
    <w:p w14:paraId="7636F28A">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u w:val="single"/>
        </w:rPr>
        <w:t>秦马跃山河展制作项目(项目编号：SXHC2026-156)</w:t>
      </w:r>
      <w:r>
        <w:rPr>
          <w:rFonts w:hint="eastAsia" w:ascii="仿宋_GB2312" w:hAnsi="仿宋_GB2312" w:eastAsia="仿宋_GB2312" w:cs="仿宋_GB2312"/>
          <w:bCs/>
          <w:sz w:val="32"/>
          <w:szCs w:val="32"/>
          <w:highlight w:val="none"/>
        </w:rPr>
        <w:t>，由陕西华采招标有限公司组织采购活动，</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(以下简称“甲方”)确定</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（以下简称“乙方”）为该项目的成交供应商。</w:t>
      </w:r>
    </w:p>
    <w:p w14:paraId="69BF99E0">
      <w:pPr>
        <w:autoSpaceDE w:val="0"/>
        <w:autoSpaceDN w:val="0"/>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依据《中华人民共和国民法典》和《中华人民共和国政府采购法》之规定，经双方在平等、自愿、互利的基础上，签订本合同，共同信守。</w:t>
      </w:r>
    </w:p>
    <w:p w14:paraId="47AC4B0E">
      <w:pPr>
        <w:adjustRightInd w:val="0"/>
        <w:snapToGrid w:val="0"/>
        <w:spacing w:line="360" w:lineRule="auto"/>
        <w:ind w:firstLine="643"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sz w:val="32"/>
          <w:szCs w:val="32"/>
          <w:highlight w:val="none"/>
        </w:rPr>
        <w:t>第一条  工程项目</w:t>
      </w:r>
    </w:p>
    <w:p w14:paraId="537A6C23">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一、项目名称：秦马跃山河展制作项目。</w:t>
      </w:r>
    </w:p>
    <w:p w14:paraId="5F68CDD4">
      <w:pPr>
        <w:adjustRightInd w:val="0"/>
        <w:snapToGrid w:val="0"/>
        <w:spacing w:line="360" w:lineRule="auto"/>
        <w:ind w:firstLine="640" w:firstLineChars="200"/>
        <w:rPr>
          <w:rFonts w:hint="eastAsia" w:ascii="仿宋_GB2312" w:hAnsi="仿宋_GB2312" w:eastAsia="仿宋_GB2312" w:cs="仿宋_GB2312"/>
          <w:bCs/>
          <w:sz w:val="32"/>
          <w:szCs w:val="32"/>
          <w:highlight w:val="none"/>
          <w:u w:val="single"/>
        </w:rPr>
      </w:pPr>
      <w:r>
        <w:rPr>
          <w:rFonts w:hint="eastAsia" w:ascii="仿宋_GB2312" w:hAnsi="仿宋_GB2312" w:eastAsia="仿宋_GB2312" w:cs="仿宋_GB2312"/>
          <w:bCs/>
          <w:sz w:val="32"/>
          <w:szCs w:val="32"/>
          <w:highlight w:val="none"/>
        </w:rPr>
        <w:t>二、工程地点：秦始皇帝陵博物院陈列厅</w:t>
      </w:r>
      <w:r>
        <w:rPr>
          <w:rFonts w:hint="eastAsia" w:ascii="仿宋_GB2312" w:hAnsi="仿宋_GB2312" w:eastAsia="仿宋_GB2312" w:cs="仿宋_GB2312"/>
          <w:sz w:val="32"/>
          <w:szCs w:val="32"/>
          <w:highlight w:val="none"/>
          <w:lang w:val="zh-CN"/>
        </w:rPr>
        <w:t>。</w:t>
      </w:r>
    </w:p>
    <w:p w14:paraId="71FA78F7">
      <w:pPr>
        <w:adjustRightInd w:val="0"/>
        <w:snapToGrid w:val="0"/>
        <w:spacing w:line="360" w:lineRule="auto"/>
        <w:ind w:firstLine="640" w:firstLineChars="200"/>
        <w:rPr>
          <w:rFonts w:hint="eastAsia" w:ascii="仿宋_GB2312" w:hAnsi="仿宋_GB2312" w:eastAsia="仿宋_GB2312" w:cs="仿宋_GB2312"/>
          <w:sz w:val="32"/>
          <w:szCs w:val="32"/>
          <w:highlight w:val="none"/>
          <w:u w:val="single"/>
        </w:rPr>
      </w:pPr>
      <w:r>
        <w:rPr>
          <w:rFonts w:hint="eastAsia" w:ascii="仿宋_GB2312" w:hAnsi="仿宋_GB2312" w:eastAsia="仿宋_GB2312" w:cs="仿宋_GB2312"/>
          <w:bCs/>
          <w:sz w:val="32"/>
          <w:szCs w:val="32"/>
          <w:highlight w:val="none"/>
        </w:rPr>
        <w:t>三、工程内容：</w:t>
      </w:r>
      <w:r>
        <w:rPr>
          <w:rFonts w:hint="eastAsia" w:ascii="仿宋_GB2312" w:hAnsi="仿宋_GB2312" w:eastAsia="仿宋_GB2312" w:cs="仿宋_GB2312"/>
          <w:bCs/>
          <w:sz w:val="32"/>
          <w:szCs w:val="32"/>
          <w:highlight w:val="none"/>
          <w:u w:val="single"/>
        </w:rPr>
        <w:t xml:space="preserve">                          </w:t>
      </w:r>
    </w:p>
    <w:p w14:paraId="20FE220A">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第二条  施工依据</w:t>
      </w:r>
    </w:p>
    <w:p w14:paraId="1E60D50D">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一、施工合同。</w:t>
      </w:r>
    </w:p>
    <w:p w14:paraId="01922287">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二、成交通知书。</w:t>
      </w:r>
    </w:p>
    <w:p w14:paraId="56B9C671">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三、响应文件及其附件。</w:t>
      </w:r>
    </w:p>
    <w:p w14:paraId="67B15589">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shd w:val="clear" w:color="auto" w:fill="FFFFFF"/>
        </w:rPr>
        <w:t>四、标准、规范及有关技术文件。</w:t>
      </w:r>
    </w:p>
    <w:p w14:paraId="3201B76F">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shd w:val="clear" w:color="auto" w:fill="FFFFFF"/>
        </w:rPr>
        <w:t>五、图纸（若有）。</w:t>
      </w:r>
    </w:p>
    <w:p w14:paraId="7D051607">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shd w:val="clear" w:color="auto" w:fill="FFFFFF"/>
        </w:rPr>
        <w:t>六、马展借展文物清单。</w:t>
      </w:r>
    </w:p>
    <w:p w14:paraId="74C417CE">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sz w:val="32"/>
          <w:szCs w:val="32"/>
          <w:highlight w:val="none"/>
          <w:shd w:val="clear" w:color="auto" w:fill="FFFFFF"/>
        </w:rPr>
      </w:pPr>
      <w:r>
        <w:rPr>
          <w:rFonts w:hint="eastAsia" w:ascii="仿宋_GB2312" w:hAnsi="仿宋_GB2312" w:eastAsia="仿宋_GB2312" w:cs="仿宋_GB2312"/>
          <w:sz w:val="32"/>
          <w:szCs w:val="32"/>
          <w:highlight w:val="none"/>
          <w:shd w:val="clear" w:color="auto" w:fill="FFFFFF"/>
        </w:rPr>
        <w:t>七、费用组成明细表。</w:t>
      </w:r>
    </w:p>
    <w:p w14:paraId="40E5E805">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第三条  工程实施期限</w:t>
      </w:r>
    </w:p>
    <w:p w14:paraId="4037CCA9">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一、工期：自合同签订之日起45个日历天。</w:t>
      </w:r>
    </w:p>
    <w:p w14:paraId="5B8E389F">
      <w:pPr>
        <w:pStyle w:val="6"/>
        <w:shd w:val="clear" w:color="auto" w:fill="FFFFFF"/>
        <w:wordWrap w:val="0"/>
        <w:adjustRightInd w:val="0"/>
        <w:snapToGrid w:val="0"/>
        <w:spacing w:before="0" w:beforeAutospacing="0" w:after="0" w:afterAutospacing="0"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二、如遇下列情况，经甲方现场代表签证后，工期可相应顺延（顺延工期应由甲、乙双方共同签字确认）。</w:t>
      </w:r>
    </w:p>
    <w:p w14:paraId="1DFDD244">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（一）在施工中如因停电、停水８小时以上或连续间歇性停水、停电３天以上（每次连续４小时以上），影响正常施工；停水停电2天以上。</w:t>
      </w:r>
    </w:p>
    <w:p w14:paraId="537DA9A1">
      <w:pPr>
        <w:tabs>
          <w:tab w:val="left" w:pos="509"/>
        </w:tabs>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（二）遇不可抗力因素以及非乙方施工因素影响。</w:t>
      </w:r>
    </w:p>
    <w:p w14:paraId="53286E2E">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（三）因人力不可抗拒的其他因素而延误工期。</w:t>
      </w:r>
    </w:p>
    <w:p w14:paraId="0C961494">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三、因乙方原因造成施工延迟的，不得请求顺延工期。</w:t>
      </w:r>
    </w:p>
    <w:p w14:paraId="6E489BA5">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第四条  合同价款、结算及付款方式</w:t>
      </w:r>
    </w:p>
    <w:p w14:paraId="7CCF3BDB">
      <w:pPr>
        <w:tabs>
          <w:tab w:val="left" w:pos="509"/>
        </w:tabs>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一、合同暂定总价（成交金额）为¥</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元。</w:t>
      </w:r>
    </w:p>
    <w:p w14:paraId="21737ABC">
      <w:pPr>
        <w:tabs>
          <w:tab w:val="left" w:pos="509"/>
        </w:tabs>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二、最终结算金额以审定合同金额为准；合同价款</w:t>
      </w:r>
      <w:r>
        <w:rPr>
          <w:rFonts w:hint="eastAsia" w:ascii="仿宋_GB2312" w:hAnsi="仿宋_GB2312" w:eastAsia="仿宋_GB2312" w:cs="仿宋_GB2312"/>
          <w:sz w:val="32"/>
          <w:szCs w:val="32"/>
          <w:highlight w:val="none"/>
          <w:lang w:val="zh-CN"/>
        </w:rPr>
        <w:t>包含但不限于设计费、人工费、服务费、材料费、税金等与完成本项目有关的所有费用。</w:t>
      </w:r>
    </w:p>
    <w:p w14:paraId="3A862A1C">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kern w:val="0"/>
          <w:sz w:val="32"/>
          <w:szCs w:val="32"/>
          <w:highlight w:val="none"/>
        </w:rPr>
        <w:t>三、</w:t>
      </w:r>
      <w:r>
        <w:rPr>
          <w:rFonts w:hint="eastAsia" w:ascii="仿宋_GB2312" w:hAnsi="仿宋_GB2312" w:eastAsia="仿宋_GB2312" w:cs="仿宋_GB2312"/>
          <w:bCs/>
          <w:sz w:val="32"/>
          <w:szCs w:val="32"/>
          <w:highlight w:val="none"/>
        </w:rPr>
        <w:t>付款方式：</w:t>
      </w:r>
    </w:p>
    <w:p w14:paraId="60D3FA56">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（一）合同签订后，达到付款条件起15日内，支付合同总金额的40.00%；</w:t>
      </w:r>
    </w:p>
    <w:p w14:paraId="7E7FD87D">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（二）项目完工验收交付后，达到付款条件起7日内，支付合同总金额的30.00%；</w:t>
      </w:r>
    </w:p>
    <w:p w14:paraId="63EF16C3">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（三）经审计部门审核后，按照审定合同金额支付，达到付款条件起7日内，支付至审定价款的100.00%。</w:t>
      </w:r>
    </w:p>
    <w:p w14:paraId="2258A515">
      <w:pPr>
        <w:adjustRightInd w:val="0"/>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四、付款依据：磋商文件、响应文件、项目预算、工程进度资料、甲方出具的验收报告、发票、审计报告、决算评审资料</w:t>
      </w:r>
      <w:r>
        <w:rPr>
          <w:rFonts w:hint="eastAsia" w:ascii="仿宋_GB2312" w:hAnsi="仿宋_GB2312" w:eastAsia="仿宋_GB2312" w:cs="仿宋_GB2312"/>
          <w:sz w:val="32"/>
          <w:szCs w:val="32"/>
          <w:highlight w:val="none"/>
        </w:rPr>
        <w:t>。</w:t>
      </w:r>
    </w:p>
    <w:p w14:paraId="671F8236">
      <w:pPr>
        <w:adjustRightInd w:val="0"/>
        <w:snapToGrid w:val="0"/>
        <w:spacing w:line="360" w:lineRule="auto"/>
        <w:ind w:firstLine="643" w:firstLineChars="200"/>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第五条  工程材料、设备的供应和采购</w:t>
      </w:r>
    </w:p>
    <w:p w14:paraId="56363E7F">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一、工程材料、设备由乙方采购。</w:t>
      </w:r>
    </w:p>
    <w:p w14:paraId="6FF7E9B0">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76B441A3">
      <w:pPr>
        <w:pStyle w:val="5"/>
        <w:adjustRightInd w:val="0"/>
        <w:snapToGrid w:val="0"/>
        <w:spacing w:line="360" w:lineRule="auto"/>
        <w:ind w:firstLine="640" w:firstLineChars="20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三、本项目选用的主要工程材料、设备及重要部位的装饰材料，乙方须报送甲方进行审核，甲方对选用的材料设备有认质和选用的决定权。</w:t>
      </w:r>
    </w:p>
    <w:p w14:paraId="137BFA26">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bCs/>
          <w:kern w:val="0"/>
          <w:sz w:val="32"/>
          <w:szCs w:val="32"/>
          <w:highlight w:val="none"/>
        </w:rPr>
        <w:t xml:space="preserve">第六条 </w:t>
      </w:r>
      <w:r>
        <w:rPr>
          <w:rFonts w:hint="eastAsia" w:ascii="仿宋_GB2312" w:hAnsi="仿宋_GB2312" w:eastAsia="仿宋_GB2312" w:cs="仿宋_GB2312"/>
          <w:b/>
          <w:sz w:val="32"/>
          <w:szCs w:val="32"/>
          <w:highlight w:val="none"/>
        </w:rPr>
        <w:t xml:space="preserve"> 本项目拟派主要人员</w:t>
      </w:r>
    </w:p>
    <w:p w14:paraId="54BE7210">
      <w:pPr>
        <w:adjustRightInd w:val="0"/>
        <w:snapToGrid w:val="0"/>
        <w:spacing w:line="360" w:lineRule="auto"/>
        <w:ind w:firstLine="640" w:firstLineChars="200"/>
        <w:rPr>
          <w:rFonts w:hint="eastAsia" w:ascii="仿宋_GB2312" w:hAnsi="仿宋_GB2312" w:eastAsia="仿宋_GB2312" w:cs="仿宋_GB2312"/>
          <w:bCs/>
          <w:sz w:val="32"/>
          <w:szCs w:val="32"/>
          <w:highlight w:val="none"/>
          <w:u w:val="single"/>
        </w:rPr>
      </w:pPr>
      <w:r>
        <w:rPr>
          <w:rFonts w:hint="eastAsia" w:ascii="仿宋_GB2312" w:hAnsi="仿宋_GB2312" w:eastAsia="仿宋_GB2312" w:cs="仿宋_GB2312"/>
          <w:bCs/>
          <w:sz w:val="32"/>
          <w:szCs w:val="32"/>
          <w:highlight w:val="none"/>
        </w:rPr>
        <w:t>一、拟派</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为项目经理，联系电话：</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，身份证号：</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w:t>
      </w:r>
    </w:p>
    <w:p w14:paraId="2A2B9630">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二、拟派</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为技术负责人，联系电话：</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，身份证号：</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w:t>
      </w:r>
    </w:p>
    <w:p w14:paraId="3737C765">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第七条  工程质量管理</w:t>
      </w:r>
    </w:p>
    <w:p w14:paraId="0CA32A81">
      <w:pPr>
        <w:pStyle w:val="9"/>
        <w:snapToGrid w:val="0"/>
        <w:spacing w:line="360" w:lineRule="auto"/>
        <w:ind w:firstLine="56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一、质量标准:</w:t>
      </w:r>
      <w:r>
        <w:rPr>
          <w:rFonts w:hint="eastAsia" w:ascii="仿宋_GB2312" w:hAnsi="仿宋_GB2312" w:eastAsia="仿宋_GB2312" w:cs="仿宋_GB2312"/>
          <w:sz w:val="32"/>
          <w:szCs w:val="32"/>
          <w:highlight w:val="none"/>
        </w:rPr>
        <w:t>符合国家现行有关建设工程质量验收规范“合格”要求</w:t>
      </w:r>
      <w:r>
        <w:rPr>
          <w:rFonts w:hint="eastAsia" w:ascii="仿宋_GB2312" w:hAnsi="仿宋_GB2312" w:eastAsia="仿宋_GB2312" w:cs="仿宋_GB2312"/>
          <w:kern w:val="0"/>
          <w:sz w:val="32"/>
          <w:szCs w:val="32"/>
          <w:highlight w:val="none"/>
        </w:rPr>
        <w:t>。</w:t>
      </w:r>
    </w:p>
    <w:p w14:paraId="2186BE2F">
      <w:pPr>
        <w:pStyle w:val="9"/>
        <w:snapToGrid w:val="0"/>
        <w:spacing w:line="360" w:lineRule="auto"/>
        <w:ind w:firstLine="56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二、乙方施工完成的布展必须达到陈列深化设计方案目标要求。</w:t>
      </w:r>
    </w:p>
    <w:p w14:paraId="7FEABD46">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第八条  安全施工</w:t>
      </w:r>
    </w:p>
    <w:p w14:paraId="2FB1296F">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遵守工程建设安全生产有关管理规定，严格按安全标准组织施工，采取必要的安全生产措施，消除事故隐患。安全措施不力造成事故责任和发生的费用由乙方承担。</w:t>
      </w:r>
    </w:p>
    <w:p w14:paraId="19607705">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第九条  质量保修</w:t>
      </w:r>
    </w:p>
    <w:p w14:paraId="7AA2D050">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一、本工程保修期自工程竣工验收合格交付之日起计算，保修期届满之日止。</w:t>
      </w:r>
    </w:p>
    <w:p w14:paraId="4870B3A9">
      <w:pPr>
        <w:adjustRightInd w:val="0"/>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二、保修期： 展厅装饰施工，保修期</w:t>
      </w:r>
      <w:r>
        <w:rPr>
          <w:rFonts w:hint="eastAsia" w:ascii="仿宋_GB2312" w:hAnsi="仿宋_GB2312" w:eastAsia="仿宋_GB2312" w:cs="仿宋_GB2312"/>
          <w:kern w:val="0"/>
          <w:sz w:val="32"/>
          <w:szCs w:val="32"/>
          <w:highlight w:val="none"/>
          <w:u w:val="single"/>
        </w:rPr>
        <w:t xml:space="preserve">   </w:t>
      </w:r>
      <w:r>
        <w:rPr>
          <w:rFonts w:hint="eastAsia" w:ascii="仿宋_GB2312" w:hAnsi="仿宋_GB2312" w:eastAsia="仿宋_GB2312" w:cs="仿宋_GB2312"/>
          <w:kern w:val="0"/>
          <w:sz w:val="32"/>
          <w:szCs w:val="32"/>
          <w:highlight w:val="none"/>
        </w:rPr>
        <w:t>年。</w:t>
      </w:r>
    </w:p>
    <w:p w14:paraId="340C14E8">
      <w:pPr>
        <w:adjustRightInd w:val="0"/>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bCs/>
          <w:sz w:val="32"/>
          <w:szCs w:val="32"/>
          <w:highlight w:val="none"/>
        </w:rPr>
        <w:t>（在保修期</w:t>
      </w:r>
      <w:r>
        <w:rPr>
          <w:rFonts w:hint="eastAsia" w:ascii="仿宋_GB2312" w:hAnsi="仿宋_GB2312" w:eastAsia="仿宋_GB2312" w:cs="仿宋_GB2312"/>
          <w:kern w:val="0"/>
          <w:sz w:val="32"/>
          <w:szCs w:val="32"/>
          <w:highlight w:val="none"/>
        </w:rPr>
        <w:t>内因质量问题伤人及伤物等问题由乙方负责维修并承担相关责任及费用。）</w:t>
      </w:r>
    </w:p>
    <w:p w14:paraId="775973BD">
      <w:pPr>
        <w:adjustRightInd w:val="0"/>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三、质保期内7×24小时响应，24小时到场处置，免费维修更换。</w:t>
      </w:r>
    </w:p>
    <w:p w14:paraId="507AC4B3">
      <w:pPr>
        <w:adjustRightInd w:val="0"/>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四、移交时提供操作手册、备品备件、培训服务。</w:t>
      </w:r>
    </w:p>
    <w:p w14:paraId="45AB67BE">
      <w:pPr>
        <w:adjustRightInd w:val="0"/>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五、非人为损坏全免费保修，人为与不可抗力按成本维修。</w:t>
      </w:r>
    </w:p>
    <w:p w14:paraId="166ABE0F">
      <w:pPr>
        <w:adjustRightInd w:val="0"/>
        <w:snapToGrid w:val="0"/>
        <w:spacing w:line="360" w:lineRule="auto"/>
        <w:ind w:firstLine="640" w:firstLineChars="200"/>
        <w:rPr>
          <w:rFonts w:eastAsia="仿宋_GB2312"/>
          <w:highlight w:val="none"/>
        </w:rPr>
      </w:pPr>
      <w:r>
        <w:rPr>
          <w:rFonts w:hint="eastAsia" w:ascii="仿宋_GB2312" w:hAnsi="仿宋_GB2312" w:eastAsia="仿宋_GB2312" w:cs="仿宋_GB2312"/>
          <w:kern w:val="0"/>
          <w:sz w:val="32"/>
          <w:szCs w:val="32"/>
          <w:highlight w:val="none"/>
        </w:rPr>
        <w:t>六、乙方保修联系电话：</w:t>
      </w:r>
      <w:r>
        <w:rPr>
          <w:rFonts w:hint="eastAsia" w:ascii="仿宋_GB2312" w:hAnsi="仿宋_GB2312" w:eastAsia="仿宋_GB2312" w:cs="仿宋_GB2312"/>
          <w:kern w:val="0"/>
          <w:sz w:val="32"/>
          <w:szCs w:val="32"/>
          <w:highlight w:val="none"/>
          <w:u w:val="single"/>
        </w:rPr>
        <w:t xml:space="preserve">       </w:t>
      </w:r>
      <w:r>
        <w:rPr>
          <w:rFonts w:hint="eastAsia" w:ascii="仿宋_GB2312" w:hAnsi="仿宋_GB2312" w:eastAsia="仿宋_GB2312" w:cs="仿宋_GB2312"/>
          <w:kern w:val="0"/>
          <w:sz w:val="32"/>
          <w:szCs w:val="32"/>
          <w:highlight w:val="none"/>
        </w:rPr>
        <w:t xml:space="preserve"> ；乙方保修联系人：</w:t>
      </w:r>
      <w:r>
        <w:rPr>
          <w:rFonts w:hint="eastAsia" w:ascii="仿宋_GB2312" w:hAnsi="仿宋_GB2312" w:eastAsia="仿宋_GB2312" w:cs="仿宋_GB2312"/>
          <w:kern w:val="0"/>
          <w:sz w:val="32"/>
          <w:szCs w:val="32"/>
          <w:highlight w:val="none"/>
          <w:u w:val="single"/>
        </w:rPr>
        <w:t xml:space="preserve">       </w:t>
      </w:r>
      <w:r>
        <w:rPr>
          <w:rFonts w:hint="eastAsia" w:ascii="仿宋_GB2312" w:hAnsi="仿宋_GB2312" w:eastAsia="仿宋_GB2312" w:cs="仿宋_GB2312"/>
          <w:kern w:val="0"/>
          <w:sz w:val="32"/>
          <w:szCs w:val="32"/>
          <w:highlight w:val="none"/>
        </w:rPr>
        <w:t>。</w:t>
      </w:r>
    </w:p>
    <w:p w14:paraId="022B1DA0">
      <w:pPr>
        <w:adjustRightInd w:val="0"/>
        <w:snapToGrid w:val="0"/>
        <w:spacing w:line="360" w:lineRule="auto"/>
        <w:ind w:firstLine="643" w:firstLineChars="200"/>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第十条  双方的权利和义务</w:t>
      </w:r>
    </w:p>
    <w:p w14:paraId="240D7D57">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kern w:val="0"/>
          <w:sz w:val="32"/>
          <w:szCs w:val="32"/>
          <w:highlight w:val="none"/>
        </w:rPr>
        <w:t>一、甲方</w:t>
      </w:r>
      <w:r>
        <w:rPr>
          <w:rFonts w:hint="eastAsia" w:ascii="仿宋_GB2312" w:hAnsi="仿宋_GB2312" w:eastAsia="仿宋_GB2312" w:cs="仿宋_GB2312"/>
          <w:bCs/>
          <w:sz w:val="32"/>
          <w:szCs w:val="32"/>
          <w:highlight w:val="none"/>
        </w:rPr>
        <w:t>的权利与义务</w:t>
      </w:r>
    </w:p>
    <w:p w14:paraId="39728D4E">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（一）协助提供施工所需水、电、但具体费用由乙方承担。</w:t>
      </w:r>
    </w:p>
    <w:p w14:paraId="6A710D3F">
      <w:pPr>
        <w:adjustRightInd w:val="0"/>
        <w:snapToGrid w:val="0"/>
        <w:spacing w:line="360" w:lineRule="auto"/>
        <w:ind w:firstLine="640" w:firstLineChars="200"/>
        <w:rPr>
          <w:highlight w:val="none"/>
        </w:rPr>
      </w:pPr>
      <w:r>
        <w:rPr>
          <w:rFonts w:hint="eastAsia" w:ascii="仿宋_GB2312" w:hAnsi="仿宋_GB2312" w:eastAsia="仿宋_GB2312" w:cs="仿宋_GB2312"/>
          <w:bCs/>
          <w:sz w:val="32"/>
          <w:szCs w:val="32"/>
          <w:highlight w:val="none"/>
        </w:rPr>
        <w:t>（二）协助切断水、电源、为乙方创造必要的施工条件。</w:t>
      </w:r>
    </w:p>
    <w:p w14:paraId="0CAF8AB6">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（三）按安全文明施工的规定，督促乙方落实安全施工、文明施工措施。</w:t>
      </w:r>
    </w:p>
    <w:p w14:paraId="491E7C5C">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（四）对施工工作提出指导性建议或意见促使施工顺利进行。</w:t>
      </w:r>
    </w:p>
    <w:p w14:paraId="1B7AB0BC">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（五）负责施工现场工作的监督、检查。</w:t>
      </w:r>
    </w:p>
    <w:p w14:paraId="77438EFF">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（六）负责组织相关力量对施工工作结束后的场地进行验收。</w:t>
      </w:r>
    </w:p>
    <w:p w14:paraId="22D12B3F">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（七）按约定支付工程款并索取相应的发票。</w:t>
      </w:r>
    </w:p>
    <w:p w14:paraId="60249796">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（八）根据工程范围内的具体要求，安排乙方完成与上述工作有关的临时性任务。</w:t>
      </w:r>
    </w:p>
    <w:p w14:paraId="47D65F9D">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二、乙方的权利与义务</w:t>
      </w:r>
    </w:p>
    <w:p w14:paraId="02D78E8B">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（一）乙方应设置施工过程中必要的办公场所，并保证所有参与上述工作的人员必须统一着装，配挂“工作人员”胸牌。</w:t>
      </w:r>
    </w:p>
    <w:p w14:paraId="5006F067">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（二）每日向甲方提供进度计划，统计报表和工程事故报告，遵守有关部门对施工场地、噪音等的管理规定。</w:t>
      </w:r>
    </w:p>
    <w:p w14:paraId="092224E1">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（三）保证施工现场清洁工作。</w:t>
      </w:r>
    </w:p>
    <w:p w14:paraId="39537042">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（四）按照国家政策、法规及甲方确认的施工组织设计或施工方案进行文明动员、文明施工。</w:t>
      </w:r>
    </w:p>
    <w:p w14:paraId="64D3CAC7">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（五）遵守安全防护和文明施工的规定，建立健全安全防护和文明施工的制度，设专职安全员，负责维护施工现场安全，做到安全文明施工等。</w:t>
      </w:r>
    </w:p>
    <w:p w14:paraId="009563CA">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（六）完善安全防护和文明施工条件，施工机械、设备须检验报告,严格按照安全防护和文明施工的规定组织施工，采取必要的安全防护措施，消除安全事故隐患。</w:t>
      </w:r>
    </w:p>
    <w:p w14:paraId="5BAB4284">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七）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5747C92F">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（八）按约定收取工程款并出具相应的发票。</w:t>
      </w:r>
    </w:p>
    <w:p w14:paraId="71F2CB56">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（九）工作人员应服从甲方的领导、监督和管理，遵守工作制度和纪律，依法施工，文明施工。</w:t>
      </w:r>
    </w:p>
    <w:p w14:paraId="01E3B609">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（十）施工过程中发生的各种不安全事故或人员伤亡，造成的责任、费用等由乙方完全承担。</w:t>
      </w:r>
    </w:p>
    <w:p w14:paraId="6AF1AC63">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（十一）指派专职项目经理负责联系和工程施工工作的有关事项，参加协调会，协调合同执行过程中遇到的问题，并配备专职安全员每日巡视现场，安全员必须持证上岗。</w:t>
      </w:r>
    </w:p>
    <w:p w14:paraId="2F256C9A">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（十二）及时向甲方汇报施工进度及安全情况。</w:t>
      </w:r>
    </w:p>
    <w:p w14:paraId="262E6993">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（十三）完成甲方交办的与工程范围内有关的其它临时性工作。</w:t>
      </w:r>
    </w:p>
    <w:p w14:paraId="34AB9C1D">
      <w:pPr>
        <w:adjustRightInd w:val="0"/>
        <w:snapToGrid w:val="0"/>
        <w:spacing w:line="360" w:lineRule="auto"/>
        <w:ind w:firstLine="643" w:firstLineChars="200"/>
        <w:rPr>
          <w:rFonts w:hint="eastAsia" w:ascii="仿宋_GB2312" w:hAnsi="仿宋_GB2312" w:eastAsia="仿宋_GB2312" w:cs="仿宋_GB2312"/>
          <w:b/>
          <w:sz w:val="32"/>
          <w:szCs w:val="32"/>
          <w:highlight w:val="none"/>
          <w:lang w:val="zh-CN"/>
        </w:rPr>
      </w:pPr>
      <w:r>
        <w:rPr>
          <w:rFonts w:hint="eastAsia" w:ascii="仿宋_GB2312" w:hAnsi="仿宋_GB2312" w:eastAsia="仿宋_GB2312" w:cs="仿宋_GB2312"/>
          <w:b/>
          <w:sz w:val="32"/>
          <w:szCs w:val="32"/>
          <w:highlight w:val="none"/>
        </w:rPr>
        <w:t xml:space="preserve">第十一条 </w:t>
      </w:r>
      <w:r>
        <w:rPr>
          <w:rFonts w:hint="eastAsia" w:ascii="仿宋_GB2312" w:hAnsi="仿宋_GB2312" w:eastAsia="仿宋_GB2312" w:cs="仿宋_GB2312"/>
          <w:b/>
          <w:sz w:val="32"/>
          <w:szCs w:val="32"/>
          <w:highlight w:val="none"/>
          <w:lang w:val="zh-CN"/>
        </w:rPr>
        <w:t>验收</w:t>
      </w:r>
    </w:p>
    <w:p w14:paraId="49E927C4">
      <w:pPr>
        <w:adjustRightInd w:val="0"/>
        <w:snapToGrid w:val="0"/>
        <w:spacing w:line="360" w:lineRule="auto"/>
        <w:ind w:firstLine="640" w:firstLineChars="200"/>
        <w:rPr>
          <w:rFonts w:hint="eastAsia" w:ascii="仿宋_GB2312" w:hAnsi="仿宋_GB2312" w:eastAsia="仿宋_GB2312" w:cs="仿宋_GB2312"/>
          <w:bCs/>
          <w:sz w:val="32"/>
          <w:szCs w:val="32"/>
          <w:highlight w:val="none"/>
          <w:lang w:val="zh-CN"/>
        </w:rPr>
      </w:pPr>
      <w:r>
        <w:rPr>
          <w:rFonts w:hint="eastAsia" w:ascii="仿宋_GB2312" w:hAnsi="仿宋_GB2312" w:eastAsia="仿宋_GB2312" w:cs="仿宋_GB2312"/>
          <w:bCs/>
          <w:sz w:val="32"/>
          <w:szCs w:val="32"/>
          <w:highlight w:val="none"/>
          <w:lang w:val="zh-CN"/>
        </w:rPr>
        <w:t>一、主材到现场后，由甲方对其进行验收，确认材料的产地、规格、数量。</w:t>
      </w:r>
    </w:p>
    <w:p w14:paraId="4740DFD3">
      <w:pPr>
        <w:adjustRightInd w:val="0"/>
        <w:snapToGrid w:val="0"/>
        <w:spacing w:line="360" w:lineRule="auto"/>
        <w:ind w:firstLine="640" w:firstLineChars="200"/>
        <w:rPr>
          <w:rFonts w:hint="eastAsia" w:ascii="仿宋_GB2312" w:hAnsi="仿宋_GB2312" w:eastAsia="仿宋_GB2312" w:cs="仿宋_GB2312"/>
          <w:bCs/>
          <w:sz w:val="32"/>
          <w:szCs w:val="32"/>
          <w:highlight w:val="none"/>
          <w:lang w:val="zh-CN"/>
        </w:rPr>
      </w:pPr>
      <w:r>
        <w:rPr>
          <w:rFonts w:hint="eastAsia" w:ascii="仿宋_GB2312" w:hAnsi="仿宋_GB2312" w:eastAsia="仿宋_GB2312" w:cs="仿宋_GB2312"/>
          <w:bCs/>
          <w:sz w:val="32"/>
          <w:szCs w:val="32"/>
          <w:highlight w:val="none"/>
          <w:lang w:val="zh-CN"/>
        </w:rPr>
        <w:t>二、乙方工程完工后，进行自检，合格后5日内准备验收文件，并书面通知甲方。</w:t>
      </w:r>
    </w:p>
    <w:p w14:paraId="2B3A269C">
      <w:pPr>
        <w:adjustRightInd w:val="0"/>
        <w:snapToGrid w:val="0"/>
        <w:spacing w:line="360" w:lineRule="auto"/>
        <w:ind w:firstLine="640" w:firstLineChars="200"/>
        <w:rPr>
          <w:rFonts w:hint="eastAsia" w:ascii="仿宋_GB2312" w:hAnsi="仿宋_GB2312" w:eastAsia="仿宋_GB2312" w:cs="仿宋_GB2312"/>
          <w:bCs/>
          <w:sz w:val="32"/>
          <w:szCs w:val="32"/>
          <w:highlight w:val="none"/>
          <w:lang w:val="zh-CN"/>
        </w:rPr>
      </w:pPr>
      <w:r>
        <w:rPr>
          <w:rFonts w:hint="eastAsia" w:ascii="仿宋_GB2312" w:hAnsi="仿宋_GB2312" w:eastAsia="仿宋_GB2312" w:cs="仿宋_GB2312"/>
          <w:bCs/>
          <w:sz w:val="32"/>
          <w:szCs w:val="32"/>
          <w:highlight w:val="none"/>
          <w:lang w:val="zh-CN"/>
        </w:rPr>
        <w:t>三、甲方确认乙方的自检内容，验收合格作为工程的最终认可。</w:t>
      </w:r>
    </w:p>
    <w:p w14:paraId="72A30B20">
      <w:pPr>
        <w:adjustRightInd w:val="0"/>
        <w:snapToGrid w:val="0"/>
        <w:spacing w:line="360" w:lineRule="auto"/>
        <w:ind w:firstLine="640" w:firstLineChars="200"/>
        <w:rPr>
          <w:rFonts w:hint="eastAsia" w:ascii="仿宋_GB2312" w:hAnsi="仿宋_GB2312" w:eastAsia="仿宋_GB2312" w:cs="仿宋_GB2312"/>
          <w:bCs/>
          <w:sz w:val="32"/>
          <w:szCs w:val="32"/>
          <w:highlight w:val="none"/>
          <w:lang w:val="zh-CN"/>
        </w:rPr>
      </w:pPr>
      <w:r>
        <w:rPr>
          <w:rFonts w:hint="eastAsia" w:ascii="仿宋_GB2312" w:hAnsi="仿宋_GB2312" w:eastAsia="仿宋_GB2312" w:cs="仿宋_GB2312"/>
          <w:bCs/>
          <w:sz w:val="32"/>
          <w:szCs w:val="32"/>
          <w:highlight w:val="none"/>
          <w:lang w:val="zh-CN"/>
        </w:rPr>
        <w:t>四、验收依据：</w:t>
      </w:r>
    </w:p>
    <w:p w14:paraId="2F273C0B">
      <w:pPr>
        <w:adjustRightInd w:val="0"/>
        <w:snapToGrid w:val="0"/>
        <w:spacing w:line="360" w:lineRule="auto"/>
        <w:ind w:firstLine="640" w:firstLineChars="200"/>
        <w:rPr>
          <w:rFonts w:hint="eastAsia" w:ascii="仿宋_GB2312" w:hAnsi="仿宋_GB2312" w:eastAsia="仿宋_GB2312" w:cs="仿宋_GB2312"/>
          <w:bCs/>
          <w:sz w:val="32"/>
          <w:szCs w:val="32"/>
          <w:highlight w:val="none"/>
          <w:lang w:val="zh-CN"/>
        </w:rPr>
      </w:pPr>
      <w:r>
        <w:rPr>
          <w:rFonts w:hint="eastAsia" w:ascii="仿宋_GB2312" w:hAnsi="仿宋_GB2312" w:eastAsia="仿宋_GB2312" w:cs="仿宋_GB2312"/>
          <w:bCs/>
          <w:sz w:val="32"/>
          <w:szCs w:val="32"/>
          <w:highlight w:val="none"/>
          <w:lang w:val="zh-CN"/>
        </w:rPr>
        <w:t>1</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val="zh-CN"/>
        </w:rPr>
        <w:t>合同、</w:t>
      </w:r>
      <w:r>
        <w:rPr>
          <w:rFonts w:hint="eastAsia" w:ascii="仿宋_GB2312" w:hAnsi="仿宋_GB2312" w:eastAsia="仿宋_GB2312" w:cs="仿宋_GB2312"/>
          <w:bCs/>
          <w:sz w:val="32"/>
          <w:szCs w:val="32"/>
          <w:highlight w:val="none"/>
        </w:rPr>
        <w:t>磋商</w:t>
      </w:r>
      <w:r>
        <w:rPr>
          <w:rFonts w:hint="eastAsia" w:ascii="仿宋_GB2312" w:hAnsi="仿宋_GB2312" w:eastAsia="仿宋_GB2312" w:cs="仿宋_GB2312"/>
          <w:bCs/>
          <w:sz w:val="32"/>
          <w:szCs w:val="32"/>
          <w:highlight w:val="none"/>
          <w:lang w:val="zh-CN"/>
        </w:rPr>
        <w:t>文件、</w:t>
      </w:r>
      <w:r>
        <w:rPr>
          <w:rFonts w:hint="eastAsia" w:ascii="仿宋_GB2312" w:hAnsi="仿宋_GB2312" w:eastAsia="仿宋_GB2312" w:cs="仿宋_GB2312"/>
          <w:bCs/>
          <w:sz w:val="32"/>
          <w:szCs w:val="32"/>
          <w:highlight w:val="none"/>
        </w:rPr>
        <w:t>响应</w:t>
      </w:r>
      <w:r>
        <w:rPr>
          <w:rFonts w:hint="eastAsia" w:ascii="仿宋_GB2312" w:hAnsi="仿宋_GB2312" w:eastAsia="仿宋_GB2312" w:cs="仿宋_GB2312"/>
          <w:bCs/>
          <w:sz w:val="32"/>
          <w:szCs w:val="32"/>
          <w:highlight w:val="none"/>
          <w:lang w:val="zh-CN"/>
        </w:rPr>
        <w:t>文件及承诺。</w:t>
      </w:r>
    </w:p>
    <w:p w14:paraId="16AFA103">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2.《建筑装饰装修工程质量验收规范》（GB 50210-2001）、《建筑电器工程施工质量检验规范GB50303-2002》、《博物馆室内装饰装修技术规程》（T/CBDA 44-2020）、《陈列展览工程技术规程》（DB13(J)/T293-2019），“查、看、测、议”四步法。</w:t>
      </w:r>
    </w:p>
    <w:p w14:paraId="121009EF">
      <w:pPr>
        <w:adjustRightInd w:val="0"/>
        <w:snapToGrid w:val="0"/>
        <w:spacing w:line="360" w:lineRule="auto"/>
        <w:ind w:firstLine="640" w:firstLineChars="200"/>
        <w:rPr>
          <w:rFonts w:hint="eastAsia" w:ascii="仿宋_GB2312" w:hAnsi="仿宋_GB2312" w:eastAsia="仿宋_GB2312" w:cs="仿宋_GB2312"/>
          <w:bCs/>
          <w:sz w:val="32"/>
          <w:szCs w:val="32"/>
          <w:highlight w:val="none"/>
          <w:lang w:val="zh-CN"/>
        </w:rPr>
      </w:pPr>
      <w:r>
        <w:rPr>
          <w:rFonts w:hint="eastAsia" w:ascii="仿宋_GB2312" w:hAnsi="仿宋_GB2312" w:eastAsia="仿宋_GB2312" w:cs="仿宋_GB2312"/>
          <w:bCs/>
          <w:sz w:val="32"/>
          <w:szCs w:val="32"/>
          <w:highlight w:val="none"/>
        </w:rPr>
        <w:t>3.</w:t>
      </w:r>
      <w:r>
        <w:rPr>
          <w:rFonts w:hint="eastAsia" w:ascii="仿宋_GB2312" w:hAnsi="仿宋_GB2312" w:eastAsia="仿宋_GB2312" w:cs="仿宋_GB2312"/>
          <w:bCs/>
          <w:sz w:val="32"/>
          <w:szCs w:val="32"/>
          <w:highlight w:val="none"/>
          <w:lang w:val="zh-CN"/>
        </w:rPr>
        <w:t>国家相关标准、规范及有关技术文件。</w:t>
      </w:r>
    </w:p>
    <w:p w14:paraId="7C64ACB0">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第十二条 违约责任</w:t>
      </w:r>
    </w:p>
    <w:p w14:paraId="25F65134">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一、甲方的违约责任</w:t>
      </w:r>
    </w:p>
    <w:p w14:paraId="391971EE">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（一）未能按承包合同的约定履行自己应负的责任。除竣工日期得以顺延外，还应赔偿因此发生的实际损失。</w:t>
      </w:r>
    </w:p>
    <w:p w14:paraId="2D19D210">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（二）工程中途停建、缓建或由于设计变更以及设计错误造成的返工，应采取措施弥补或减少损失。同时，赔偿乙方由此而造成的停工、窝工、返工、倒运、人员与机械设备调迁、材料与构件积压的实际损失。</w:t>
      </w:r>
    </w:p>
    <w:p w14:paraId="4BD6E18B">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（三）工程未经验收，甲方提前使用或擅自动用，因此而发生的质量或其它问题，由甲方承担责任。</w:t>
      </w:r>
    </w:p>
    <w:p w14:paraId="30590D9D">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二、乙方的违约责任</w:t>
      </w:r>
    </w:p>
    <w:p w14:paraId="65AFA783">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（一）乙方未能按时完成本工程项目任务的，每延期一日应按合同价款（暂定）的5％／天扣除；无故延期15日以上视为根本性违约，甲方有权解除本合同。</w:t>
      </w:r>
    </w:p>
    <w:p w14:paraId="7E84C32B">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（二）工程出现质量问题视为乙方严重违约，视情节轻重乙方应按合同价款（暂定）的10%-30%扣除，此外应赔偿因此给甲方造成的损失。</w:t>
      </w:r>
    </w:p>
    <w:p w14:paraId="74C96AF2">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（三）协议一方擅自解除或终止本合同的，违约方应按合同暂定价款的20%向守约方支付违约金。</w:t>
      </w:r>
    </w:p>
    <w:p w14:paraId="357DA059">
      <w:pPr>
        <w:pStyle w:val="10"/>
        <w:widowControl/>
        <w:snapToGrid w:val="0"/>
        <w:ind w:firstLine="640"/>
        <w:rPr>
          <w:rFonts w:ascii="仿宋_GB2312" w:hAnsi="仿宋_GB2312" w:eastAsia="仿宋_GB2312" w:cs="仿宋_GB2312"/>
          <w:b/>
          <w:bCs/>
          <w:sz w:val="32"/>
          <w:szCs w:val="32"/>
          <w:highlight w:val="none"/>
        </w:rPr>
      </w:pPr>
      <w:r>
        <w:rPr>
          <w:rFonts w:ascii="仿宋_GB2312" w:hAnsi="仿宋_GB2312" w:eastAsia="仿宋_GB2312" w:cs="仿宋_GB2312"/>
          <w:b/>
          <w:bCs/>
          <w:sz w:val="32"/>
          <w:szCs w:val="32"/>
          <w:highlight w:val="none"/>
        </w:rPr>
        <w:t>第十三条  合同变更与终止</w:t>
      </w:r>
    </w:p>
    <w:p w14:paraId="2B6FC7DF">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（一）合同期间任何一方不得随意终止合同。</w:t>
      </w:r>
    </w:p>
    <w:p w14:paraId="3D9DD9C0">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（二）本合同规定的履行期限届满，合同自动终止。</w:t>
      </w:r>
    </w:p>
    <w:p w14:paraId="33B07453">
      <w:pPr>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（三）因双方机构撤并、职能调整等原因，确需终止合同的，双方可协商终止合同。</w:t>
      </w:r>
    </w:p>
    <w:p w14:paraId="10D58128">
      <w:pPr>
        <w:pStyle w:val="3"/>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（四）乙方应自觉遵守甲方工作纪律、规章制度，服从甲方管理。因乙方原因给甲方造成严重后果，甲方可以单方面解除合同。</w:t>
      </w:r>
    </w:p>
    <w:p w14:paraId="3DB8AE9B">
      <w:pPr>
        <w:adjustRightInd w:val="0"/>
        <w:snapToGrid w:val="0"/>
        <w:spacing w:line="360" w:lineRule="auto"/>
        <w:ind w:firstLine="643" w:firstLineChars="200"/>
        <w:jc w:val="left"/>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 xml:space="preserve">第十四条 </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_GB2312" w:hAnsi="仿宋_GB2312" w:eastAsia="仿宋_GB2312" w:cs="仿宋_GB2312"/>
          <w:b/>
          <w:bCs/>
          <w:kern w:val="0"/>
          <w:sz w:val="32"/>
          <w:szCs w:val="32"/>
          <w:highlight w:val="none"/>
        </w:rPr>
        <w:t>不可抗力</w:t>
      </w:r>
      <w:r>
        <w:rPr>
          <w:rFonts w:hint="eastAsia" w:ascii="仿宋_GB2312" w:hAnsi="仿宋_GB2312" w:eastAsia="仿宋_GB2312" w:cs="仿宋_GB2312"/>
          <w:b/>
          <w:bCs/>
          <w:kern w:val="0"/>
          <w:sz w:val="32"/>
          <w:szCs w:val="32"/>
          <w:highlight w:val="none"/>
        </w:rPr>
        <w:fldChar w:fldCharType="end"/>
      </w:r>
    </w:p>
    <w:p w14:paraId="6C94F481">
      <w:pPr>
        <w:adjustRightInd w:val="0"/>
        <w:snapToGrid w:val="0"/>
        <w:spacing w:line="360" w:lineRule="auto"/>
        <w:ind w:firstLine="640" w:firstLineChars="20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rPr>
        <w:t>甲乙双方任何一方由于</w:t>
      </w:r>
      <w:r>
        <w:rPr>
          <w:highlight w:val="none"/>
        </w:rPr>
        <w:fldChar w:fldCharType="begin"/>
      </w:r>
      <w:r>
        <w:rPr>
          <w:highlight w:val="none"/>
        </w:rPr>
        <w:instrText xml:space="preserve"> HYPERLINK "http://set2.mail.qq.com/cgi-bin/mail_spam?action=check_link&amp;spam=0&amp;url=http%3A%2F%2Fwww%2Ebaidu%2Ecom%2Fs%3Fwd%3D%25E4%25B8%258D%25E5%258F%25AF%25E6%258A%2597%25E5%258A%259B%26hl_tag%3Dtextlink%26tn%3DSE_hldp01350_v6v6zkg6" </w:instrText>
      </w:r>
      <w:r>
        <w:rPr>
          <w:highlight w:val="none"/>
        </w:rPr>
        <w:fldChar w:fldCharType="separate"/>
      </w:r>
      <w:r>
        <w:rPr>
          <w:rFonts w:hint="eastAsia" w:ascii="仿宋_GB2312" w:hAnsi="仿宋_GB2312" w:eastAsia="仿宋_GB2312" w:cs="仿宋_GB2312"/>
          <w:kern w:val="0"/>
          <w:sz w:val="32"/>
          <w:szCs w:val="32"/>
          <w:highlight w:val="none"/>
        </w:rPr>
        <w:t>不可抗力</w:t>
      </w:r>
      <w:r>
        <w:rPr>
          <w:rFonts w:hint="eastAsia" w:ascii="仿宋_GB2312" w:hAnsi="仿宋_GB2312" w:eastAsia="仿宋_GB2312" w:cs="仿宋_GB2312"/>
          <w:kern w:val="0"/>
          <w:sz w:val="32"/>
          <w:szCs w:val="32"/>
          <w:highlight w:val="none"/>
        </w:rPr>
        <w:fldChar w:fldCharType="end"/>
      </w:r>
      <w:r>
        <w:rPr>
          <w:rFonts w:hint="eastAsia" w:ascii="仿宋_GB2312" w:hAnsi="仿宋_GB2312" w:eastAsia="仿宋_GB2312" w:cs="仿宋_GB2312"/>
          <w:kern w:val="0"/>
          <w:sz w:val="32"/>
          <w:szCs w:val="32"/>
          <w:highlight w:val="none"/>
        </w:rPr>
        <w:t>原因不能履行合同时，应及时向对</w:t>
      </w:r>
      <w:r>
        <w:rPr>
          <w:highlight w:val="none"/>
        </w:rPr>
        <w:fldChar w:fldCharType="begin"/>
      </w:r>
      <w:r>
        <w:rPr>
          <w:highlight w:val="none"/>
        </w:rPr>
        <w:instrText xml:space="preserve"> HYPERLINK "http://set2.mail.qq.com/cgi-bin/mail_spam?action=check_link&amp;spam=0&amp;url=http%3A%2F%2Fwww%2Ebaidu%2Ecom%2Fs%3Fwd%3D%25E6%2596%25B9%25E9%2580%259A%26hl_tag%3Dtextlink%26tn%3DSE_hldp01350_v6v6zkg6" </w:instrText>
      </w:r>
      <w:r>
        <w:rPr>
          <w:highlight w:val="none"/>
        </w:rPr>
        <w:fldChar w:fldCharType="separate"/>
      </w:r>
      <w:r>
        <w:rPr>
          <w:rFonts w:hint="eastAsia" w:ascii="仿宋_GB2312" w:hAnsi="仿宋_GB2312" w:eastAsia="仿宋_GB2312" w:cs="仿宋_GB2312"/>
          <w:kern w:val="0"/>
          <w:sz w:val="32"/>
          <w:szCs w:val="32"/>
          <w:highlight w:val="none"/>
        </w:rPr>
        <w:t>方通</w:t>
      </w:r>
      <w:r>
        <w:rPr>
          <w:rFonts w:hint="eastAsia" w:ascii="仿宋_GB2312" w:hAnsi="仿宋_GB2312" w:eastAsia="仿宋_GB2312" w:cs="仿宋_GB2312"/>
          <w:kern w:val="0"/>
          <w:sz w:val="32"/>
          <w:szCs w:val="32"/>
          <w:highlight w:val="none"/>
        </w:rPr>
        <w:fldChar w:fldCharType="end"/>
      </w:r>
      <w:r>
        <w:rPr>
          <w:rFonts w:hint="eastAsia" w:ascii="仿宋_GB2312" w:hAnsi="仿宋_GB2312" w:eastAsia="仿宋_GB2312" w:cs="仿宋_GB2312"/>
          <w:kern w:val="0"/>
          <w:sz w:val="32"/>
          <w:szCs w:val="32"/>
          <w:highlight w:val="none"/>
        </w:rPr>
        <w:t>报不能履行或不能完全履行的理由，以减轻可能给对方造成的损失，在取得有关机构证明后，允许延期履行、部分履行或不履行合同，并根据情况可部分或全部免予承担</w:t>
      </w:r>
      <w:r>
        <w:rPr>
          <w:highlight w:val="none"/>
        </w:rPr>
        <w:fldChar w:fldCharType="begin"/>
      </w:r>
      <w:r>
        <w:rPr>
          <w:highlight w:val="none"/>
        </w:rPr>
        <w:instrText xml:space="preserve"> HYPERLINK "http://set2.mail.qq.com/cgi-bin/mail_spam?action=check_link&amp;spam=0&amp;url=http%3A%2F%2Fwww%2Ebaidu%2Ecom%2Fs%3Fwd%3D%25E8%25BF%259D%25E7%25BA%25A6%25E8%25B4%25A3%25E4%25BB%25BB%26hl_tag%3Dtextlink%26tn%3DSE_hldp01350_v6v6zkg6" </w:instrText>
      </w:r>
      <w:r>
        <w:rPr>
          <w:highlight w:val="none"/>
        </w:rPr>
        <w:fldChar w:fldCharType="separate"/>
      </w:r>
      <w:r>
        <w:rPr>
          <w:rFonts w:hint="eastAsia" w:ascii="仿宋_GB2312" w:hAnsi="仿宋_GB2312" w:eastAsia="仿宋_GB2312" w:cs="仿宋_GB2312"/>
          <w:kern w:val="0"/>
          <w:sz w:val="32"/>
          <w:szCs w:val="32"/>
          <w:highlight w:val="none"/>
        </w:rPr>
        <w:t>违约责任</w:t>
      </w:r>
      <w:r>
        <w:rPr>
          <w:rFonts w:hint="eastAsia" w:ascii="仿宋_GB2312" w:hAnsi="仿宋_GB2312" w:eastAsia="仿宋_GB2312" w:cs="仿宋_GB2312"/>
          <w:kern w:val="0"/>
          <w:sz w:val="32"/>
          <w:szCs w:val="32"/>
          <w:highlight w:val="none"/>
        </w:rPr>
        <w:fldChar w:fldCharType="end"/>
      </w:r>
      <w:r>
        <w:rPr>
          <w:rFonts w:hint="eastAsia" w:ascii="仿宋_GB2312" w:hAnsi="仿宋_GB2312" w:eastAsia="仿宋_GB2312" w:cs="仿宋_GB2312"/>
          <w:kern w:val="0"/>
          <w:sz w:val="32"/>
          <w:szCs w:val="32"/>
          <w:highlight w:val="none"/>
        </w:rPr>
        <w:t>。</w:t>
      </w:r>
    </w:p>
    <w:p w14:paraId="3CA6D93C">
      <w:pPr>
        <w:adjustRightInd w:val="0"/>
        <w:snapToGrid w:val="0"/>
        <w:spacing w:line="360" w:lineRule="auto"/>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第十五条  纠纷解决办法</w:t>
      </w:r>
    </w:p>
    <w:p w14:paraId="5AE50482">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因本合同产生纠纷，如协商无法解决，双方均有权向甲方所在地人民法院提起诉讼。</w:t>
      </w:r>
    </w:p>
    <w:p w14:paraId="647B17DE">
      <w:pPr>
        <w:adjustRightInd w:val="0"/>
        <w:snapToGrid w:val="0"/>
        <w:spacing w:line="360" w:lineRule="auto"/>
        <w:ind w:firstLine="643" w:firstLineChars="200"/>
        <w:jc w:val="left"/>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b/>
          <w:bCs/>
          <w:kern w:val="0"/>
          <w:sz w:val="32"/>
          <w:szCs w:val="32"/>
          <w:highlight w:val="none"/>
        </w:rPr>
        <w:t>第十六条  监督和管理</w:t>
      </w:r>
    </w:p>
    <w:p w14:paraId="3F502926">
      <w:pPr>
        <w:adjustRightInd w:val="0"/>
        <w:snapToGrid w:val="0"/>
        <w:spacing w:line="360" w:lineRule="auto"/>
        <w:ind w:firstLine="640" w:firstLineChars="20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C87CBE8">
      <w:pPr>
        <w:pStyle w:val="5"/>
        <w:adjustRightInd w:val="0"/>
        <w:snapToGrid w:val="0"/>
        <w:spacing w:line="360" w:lineRule="auto"/>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二、甲乙双方均应自觉配合有关监督管理部门对合同履行情况的监督检查，如实反映情况，提供有关资料；否则，将对有关单位、当事人按照有关规定予以处罚。</w:t>
      </w:r>
    </w:p>
    <w:p w14:paraId="09DF5BBD">
      <w:pPr>
        <w:pStyle w:val="5"/>
        <w:adjustRightInd w:val="0"/>
        <w:snapToGrid w:val="0"/>
        <w:spacing w:line="360" w:lineRule="auto"/>
        <w:ind w:firstLine="643" w:firstLineChars="200"/>
        <w:jc w:val="both"/>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第十七条  补充条款</w:t>
      </w:r>
    </w:p>
    <w:p w14:paraId="434025C5">
      <w:pPr>
        <w:pStyle w:val="5"/>
        <w:adjustRightInd w:val="0"/>
        <w:snapToGrid w:val="0"/>
        <w:spacing w:line="360" w:lineRule="auto"/>
        <w:ind w:firstLine="640" w:firstLineChars="200"/>
        <w:jc w:val="both"/>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t>乙方应按时发放农民工工资，甲方有权监督乙方在支付当期进度款中发放农民工工资。如乙方未按时发放农民工工资，影响到本工程的质量和进度，甲方有权从剩余进度款中按乙方所拟的工资额度直接发放农民工的工资，并按发放金额的50%从乙方的剩余工程款中扣除予以处罚。</w:t>
      </w:r>
    </w:p>
    <w:p w14:paraId="6837C75E">
      <w:pPr>
        <w:pStyle w:val="5"/>
        <w:adjustRightInd w:val="0"/>
        <w:snapToGrid w:val="0"/>
        <w:spacing w:line="360" w:lineRule="auto"/>
        <w:ind w:firstLine="643" w:firstLineChars="200"/>
        <w:jc w:val="both"/>
        <w:rPr>
          <w:rFonts w:hint="eastAsia" w:ascii="仿宋_GB2312" w:hAnsi="仿宋_GB2312" w:eastAsia="仿宋_GB2312" w:cs="仿宋_GB2312"/>
          <w:bCs/>
          <w:sz w:val="32"/>
          <w:szCs w:val="32"/>
          <w:highlight w:val="none"/>
        </w:rPr>
      </w:pPr>
      <w:r>
        <w:rPr>
          <w:rFonts w:hint="eastAsia" w:ascii="仿宋_GB2312" w:hAnsi="仿宋_GB2312" w:eastAsia="仿宋_GB2312" w:cs="仿宋_GB2312"/>
          <w:b/>
          <w:bCs/>
          <w:sz w:val="32"/>
          <w:szCs w:val="32"/>
          <w:highlight w:val="none"/>
        </w:rPr>
        <w:t>第十八</w:t>
      </w:r>
      <w:r>
        <w:rPr>
          <w:rFonts w:hint="eastAsia" w:ascii="仿宋_GB2312" w:hAnsi="仿宋_GB2312" w:eastAsia="仿宋_GB2312" w:cs="仿宋_GB2312"/>
          <w:b/>
          <w:sz w:val="32"/>
          <w:szCs w:val="32"/>
          <w:highlight w:val="none"/>
        </w:rPr>
        <w:t>条  附  则</w:t>
      </w:r>
    </w:p>
    <w:p w14:paraId="6D37BA2E">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一、甲方代表为</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，乙方代表为</w:t>
      </w:r>
      <w:r>
        <w:rPr>
          <w:rFonts w:hint="eastAsia" w:ascii="仿宋_GB2312" w:hAnsi="仿宋_GB2312" w:eastAsia="仿宋_GB2312" w:cs="仿宋_GB2312"/>
          <w:bCs/>
          <w:sz w:val="32"/>
          <w:szCs w:val="32"/>
          <w:highlight w:val="none"/>
          <w:u w:val="single"/>
        </w:rPr>
        <w:t xml:space="preserve">         </w:t>
      </w:r>
      <w:r>
        <w:rPr>
          <w:rFonts w:hint="eastAsia" w:ascii="仿宋_GB2312" w:hAnsi="仿宋_GB2312" w:eastAsia="仿宋_GB2312" w:cs="仿宋_GB2312"/>
          <w:bCs/>
          <w:sz w:val="32"/>
          <w:szCs w:val="32"/>
          <w:highlight w:val="none"/>
        </w:rPr>
        <w:t>。</w:t>
      </w:r>
    </w:p>
    <w:p w14:paraId="15092D33">
      <w:pPr>
        <w:adjustRightInd w:val="0"/>
        <w:snapToGrid w:val="0"/>
        <w:spacing w:line="360" w:lineRule="auto"/>
        <w:ind w:firstLine="640" w:firstLineChars="200"/>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二、本合同一式四份,甲乙双方各执两份。自双方代表签字，加盖双方公章或合同专用章后生效。</w:t>
      </w:r>
    </w:p>
    <w:tbl>
      <w:tblPr>
        <w:tblStyle w:val="7"/>
        <w:tblW w:w="8539" w:type="dxa"/>
        <w:jc w:val="center"/>
        <w:tblLayout w:type="fixed"/>
        <w:tblCellMar>
          <w:top w:w="0" w:type="dxa"/>
          <w:left w:w="108" w:type="dxa"/>
          <w:bottom w:w="0" w:type="dxa"/>
          <w:right w:w="108" w:type="dxa"/>
        </w:tblCellMar>
      </w:tblPr>
      <w:tblGrid>
        <w:gridCol w:w="4269"/>
        <w:gridCol w:w="4270"/>
      </w:tblGrid>
      <w:tr w14:paraId="0ED58F3A">
        <w:tblPrEx>
          <w:tblCellMar>
            <w:top w:w="0" w:type="dxa"/>
            <w:left w:w="108" w:type="dxa"/>
            <w:bottom w:w="0" w:type="dxa"/>
            <w:right w:w="108" w:type="dxa"/>
          </w:tblCellMar>
        </w:tblPrEx>
        <w:trPr>
          <w:trHeight w:val="592" w:hRule="exact"/>
          <w:jc w:val="center"/>
        </w:trPr>
        <w:tc>
          <w:tcPr>
            <w:tcW w:w="4269" w:type="dxa"/>
            <w:vAlign w:val="center"/>
          </w:tcPr>
          <w:p w14:paraId="756891C7">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甲  方（盖章）</w:t>
            </w:r>
          </w:p>
        </w:tc>
        <w:tc>
          <w:tcPr>
            <w:tcW w:w="4270" w:type="dxa"/>
            <w:vAlign w:val="center"/>
          </w:tcPr>
          <w:p w14:paraId="2B3DBFFF">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乙  方（盖章）</w:t>
            </w:r>
          </w:p>
        </w:tc>
      </w:tr>
      <w:tr w14:paraId="6336BBE4">
        <w:tblPrEx>
          <w:tblCellMar>
            <w:top w:w="0" w:type="dxa"/>
            <w:left w:w="108" w:type="dxa"/>
            <w:bottom w:w="0" w:type="dxa"/>
            <w:right w:w="108" w:type="dxa"/>
          </w:tblCellMar>
        </w:tblPrEx>
        <w:trPr>
          <w:trHeight w:val="632" w:hRule="exact"/>
          <w:jc w:val="center"/>
        </w:trPr>
        <w:tc>
          <w:tcPr>
            <w:tcW w:w="4269" w:type="dxa"/>
            <w:vAlign w:val="center"/>
          </w:tcPr>
          <w:p w14:paraId="1BCBE97D">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 xml:space="preserve">地址： </w:t>
            </w:r>
          </w:p>
        </w:tc>
        <w:tc>
          <w:tcPr>
            <w:tcW w:w="4270" w:type="dxa"/>
            <w:vAlign w:val="center"/>
          </w:tcPr>
          <w:p w14:paraId="46D8F9EB">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地址：</w:t>
            </w:r>
          </w:p>
        </w:tc>
      </w:tr>
      <w:tr w14:paraId="3D521840">
        <w:tblPrEx>
          <w:tblCellMar>
            <w:top w:w="0" w:type="dxa"/>
            <w:left w:w="108" w:type="dxa"/>
            <w:bottom w:w="0" w:type="dxa"/>
            <w:right w:w="108" w:type="dxa"/>
          </w:tblCellMar>
        </w:tblPrEx>
        <w:trPr>
          <w:trHeight w:val="646" w:hRule="exact"/>
          <w:jc w:val="center"/>
        </w:trPr>
        <w:tc>
          <w:tcPr>
            <w:tcW w:w="4269" w:type="dxa"/>
            <w:vAlign w:val="center"/>
          </w:tcPr>
          <w:p w14:paraId="25C836DD">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邮编：</w:t>
            </w:r>
          </w:p>
        </w:tc>
        <w:tc>
          <w:tcPr>
            <w:tcW w:w="4270" w:type="dxa"/>
            <w:vAlign w:val="center"/>
          </w:tcPr>
          <w:p w14:paraId="31D00C15">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邮编：</w:t>
            </w:r>
          </w:p>
        </w:tc>
      </w:tr>
      <w:tr w14:paraId="0BA76E2F">
        <w:tblPrEx>
          <w:tblCellMar>
            <w:top w:w="0" w:type="dxa"/>
            <w:left w:w="108" w:type="dxa"/>
            <w:bottom w:w="0" w:type="dxa"/>
            <w:right w:w="108" w:type="dxa"/>
          </w:tblCellMar>
        </w:tblPrEx>
        <w:trPr>
          <w:trHeight w:val="646" w:hRule="exact"/>
          <w:jc w:val="center"/>
        </w:trPr>
        <w:tc>
          <w:tcPr>
            <w:tcW w:w="4269" w:type="dxa"/>
            <w:vAlign w:val="center"/>
          </w:tcPr>
          <w:p w14:paraId="01FC7717">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 xml:space="preserve">法定代表人： </w:t>
            </w:r>
          </w:p>
        </w:tc>
        <w:tc>
          <w:tcPr>
            <w:tcW w:w="4270" w:type="dxa"/>
            <w:vAlign w:val="center"/>
          </w:tcPr>
          <w:p w14:paraId="0CA397B0">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法定代表人：</w:t>
            </w:r>
          </w:p>
        </w:tc>
      </w:tr>
      <w:tr w14:paraId="330FE05E">
        <w:tblPrEx>
          <w:tblCellMar>
            <w:top w:w="0" w:type="dxa"/>
            <w:left w:w="108" w:type="dxa"/>
            <w:bottom w:w="0" w:type="dxa"/>
            <w:right w:w="108" w:type="dxa"/>
          </w:tblCellMar>
        </w:tblPrEx>
        <w:trPr>
          <w:trHeight w:val="646" w:hRule="exact"/>
          <w:jc w:val="center"/>
        </w:trPr>
        <w:tc>
          <w:tcPr>
            <w:tcW w:w="4269" w:type="dxa"/>
            <w:vAlign w:val="center"/>
          </w:tcPr>
          <w:p w14:paraId="38470F21">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被授权代表：</w:t>
            </w:r>
          </w:p>
        </w:tc>
        <w:tc>
          <w:tcPr>
            <w:tcW w:w="4270" w:type="dxa"/>
            <w:vAlign w:val="center"/>
          </w:tcPr>
          <w:p w14:paraId="58F2D1AE">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被授权代表：</w:t>
            </w:r>
          </w:p>
        </w:tc>
      </w:tr>
      <w:tr w14:paraId="46BD942E">
        <w:tblPrEx>
          <w:tblCellMar>
            <w:top w:w="0" w:type="dxa"/>
            <w:left w:w="108" w:type="dxa"/>
            <w:bottom w:w="0" w:type="dxa"/>
            <w:right w:w="108" w:type="dxa"/>
          </w:tblCellMar>
        </w:tblPrEx>
        <w:trPr>
          <w:trHeight w:val="646" w:hRule="exact"/>
          <w:jc w:val="center"/>
        </w:trPr>
        <w:tc>
          <w:tcPr>
            <w:tcW w:w="4269" w:type="dxa"/>
            <w:vAlign w:val="center"/>
          </w:tcPr>
          <w:p w14:paraId="4A055435">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电话：</w:t>
            </w:r>
          </w:p>
        </w:tc>
        <w:tc>
          <w:tcPr>
            <w:tcW w:w="4270" w:type="dxa"/>
            <w:vAlign w:val="center"/>
          </w:tcPr>
          <w:p w14:paraId="1F8854FA">
            <w:pPr>
              <w:autoSpaceDE w:val="0"/>
              <w:autoSpaceDN w:val="0"/>
              <w:adjustRightInd w:val="0"/>
              <w:snapToGrid w:val="0"/>
              <w:spacing w:line="576" w:lineRule="exact"/>
              <w:ind w:left="840" w:hanging="840" w:hangingChars="300"/>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电话：</w:t>
            </w:r>
          </w:p>
        </w:tc>
      </w:tr>
      <w:tr w14:paraId="6CDE04A5">
        <w:tblPrEx>
          <w:tblCellMar>
            <w:top w:w="0" w:type="dxa"/>
            <w:left w:w="108" w:type="dxa"/>
            <w:bottom w:w="0" w:type="dxa"/>
            <w:right w:w="108" w:type="dxa"/>
          </w:tblCellMar>
        </w:tblPrEx>
        <w:trPr>
          <w:trHeight w:val="646" w:hRule="exact"/>
          <w:jc w:val="center"/>
        </w:trPr>
        <w:tc>
          <w:tcPr>
            <w:tcW w:w="4269" w:type="dxa"/>
            <w:vAlign w:val="center"/>
          </w:tcPr>
          <w:p w14:paraId="1D6FDEC1">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传真：</w:t>
            </w:r>
          </w:p>
        </w:tc>
        <w:tc>
          <w:tcPr>
            <w:tcW w:w="4270" w:type="dxa"/>
            <w:vAlign w:val="center"/>
          </w:tcPr>
          <w:p w14:paraId="74591632">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传真：</w:t>
            </w:r>
          </w:p>
        </w:tc>
      </w:tr>
      <w:tr w14:paraId="1FE5F974">
        <w:tblPrEx>
          <w:tblCellMar>
            <w:top w:w="0" w:type="dxa"/>
            <w:left w:w="108" w:type="dxa"/>
            <w:bottom w:w="0" w:type="dxa"/>
            <w:right w:w="108" w:type="dxa"/>
          </w:tblCellMar>
        </w:tblPrEx>
        <w:trPr>
          <w:trHeight w:val="646" w:hRule="exact"/>
          <w:jc w:val="center"/>
        </w:trPr>
        <w:tc>
          <w:tcPr>
            <w:tcW w:w="4269" w:type="dxa"/>
            <w:vAlign w:val="center"/>
          </w:tcPr>
          <w:p w14:paraId="751CD067">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开户银行：</w:t>
            </w:r>
          </w:p>
        </w:tc>
        <w:tc>
          <w:tcPr>
            <w:tcW w:w="4270" w:type="dxa"/>
            <w:vAlign w:val="center"/>
          </w:tcPr>
          <w:p w14:paraId="0AAA1D21">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开户银行：</w:t>
            </w:r>
          </w:p>
        </w:tc>
      </w:tr>
      <w:tr w14:paraId="7F8681B0">
        <w:tblPrEx>
          <w:tblCellMar>
            <w:top w:w="0" w:type="dxa"/>
            <w:left w:w="108" w:type="dxa"/>
            <w:bottom w:w="0" w:type="dxa"/>
            <w:right w:w="108" w:type="dxa"/>
          </w:tblCellMar>
        </w:tblPrEx>
        <w:trPr>
          <w:trHeight w:val="646" w:hRule="exact"/>
          <w:jc w:val="center"/>
        </w:trPr>
        <w:tc>
          <w:tcPr>
            <w:tcW w:w="4269" w:type="dxa"/>
            <w:vAlign w:val="center"/>
          </w:tcPr>
          <w:p w14:paraId="48C4A952">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日期：</w:t>
            </w:r>
          </w:p>
        </w:tc>
        <w:tc>
          <w:tcPr>
            <w:tcW w:w="4270" w:type="dxa"/>
            <w:vAlign w:val="center"/>
          </w:tcPr>
          <w:p w14:paraId="02CC5EE6">
            <w:pPr>
              <w:autoSpaceDE w:val="0"/>
              <w:autoSpaceDN w:val="0"/>
              <w:adjustRightInd w:val="0"/>
              <w:snapToGrid w:val="0"/>
              <w:spacing w:line="576" w:lineRule="exact"/>
              <w:rPr>
                <w:rFonts w:hint="eastAsia" w:ascii="仿宋_GB2312" w:hAnsi="宋体" w:eastAsia="仿宋_GB2312"/>
                <w:spacing w:val="-20"/>
                <w:kern w:val="0"/>
                <w:sz w:val="32"/>
                <w:szCs w:val="32"/>
                <w:highlight w:val="none"/>
              </w:rPr>
            </w:pPr>
            <w:r>
              <w:rPr>
                <w:rFonts w:hint="eastAsia" w:ascii="仿宋_GB2312" w:hAnsi="宋体" w:eastAsia="仿宋_GB2312"/>
                <w:spacing w:val="-20"/>
                <w:kern w:val="0"/>
                <w:sz w:val="32"/>
                <w:szCs w:val="32"/>
                <w:highlight w:val="none"/>
              </w:rPr>
              <w:t>日期：</w:t>
            </w:r>
          </w:p>
        </w:tc>
      </w:tr>
    </w:tbl>
    <w:p w14:paraId="4028E3B2">
      <w:pPr>
        <w:rPr>
          <w:highlight w:val="none"/>
        </w:rPr>
      </w:pPr>
    </w:p>
    <w:p w14:paraId="634E97D9">
      <w:pPr>
        <w:pStyle w:val="12"/>
        <w:snapToGrid w:val="0"/>
        <w:spacing w:after="0" w:line="360" w:lineRule="auto"/>
        <w:jc w:val="left"/>
        <w:rPr>
          <w:rFonts w:hint="eastAsia" w:ascii="仿宋" w:hAnsi="仿宋" w:eastAsia="仿宋" w:cs="仿宋"/>
          <w:color w:val="000000"/>
          <w:highlight w:val="none"/>
          <w:lang w:val="en-US" w:eastAsia="zh-Hans"/>
        </w:rPr>
      </w:pPr>
    </w:p>
    <w:p w14:paraId="675AE839">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7781DC"/>
    <w:multiLevelType w:val="singleLevel"/>
    <w:tmpl w:val="D17781DC"/>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87445D"/>
    <w:rsid w:val="0B2C41D0"/>
    <w:rsid w:val="2A87445D"/>
    <w:rsid w:val="3A681B62"/>
    <w:rsid w:val="40BD7E43"/>
    <w:rsid w:val="7DA8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qFormat/>
    <w:uiPriority w:val="0"/>
    <w:pPr>
      <w:jc w:val="left"/>
    </w:pPr>
  </w:style>
  <w:style w:type="paragraph" w:styleId="5">
    <w:name w:val="Body Text"/>
    <w:basedOn w:val="1"/>
    <w:next w:val="1"/>
    <w:qFormat/>
    <w:uiPriority w:val="99"/>
    <w:pPr>
      <w:jc w:val="left"/>
    </w:pPr>
    <w:rPr>
      <w:kern w:val="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9">
    <w:name w:val="List Paragraph"/>
    <w:basedOn w:val="1"/>
    <w:qFormat/>
    <w:uiPriority w:val="99"/>
    <w:pPr>
      <w:ind w:left="100" w:firstLine="420"/>
    </w:pPr>
  </w:style>
  <w:style w:type="paragraph" w:customStyle="1" w:styleId="10">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1">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19"/>
      <w:szCs w:val="19"/>
      <w:lang w:eastAsia="en-US"/>
    </w:rPr>
  </w:style>
  <w:style w:type="paragraph" w:customStyle="1" w:styleId="12">
    <w:name w:val="Body text|5"/>
    <w:basedOn w:val="1"/>
    <w:qFormat/>
    <w:uiPriority w:val="0"/>
    <w:pPr>
      <w:spacing w:after="480" w:line="500" w:lineRule="exact"/>
    </w:pPr>
    <w:rPr>
      <w:rFonts w:ascii="宋体" w:hAnsi="宋体" w:cs="宋体"/>
      <w:sz w:val="32"/>
      <w:szCs w:val="32"/>
      <w:lang w:val="zh-TW" w:eastAsia="zh-TW" w:bidi="zh-TW"/>
    </w:rPr>
  </w:style>
  <w:style w:type="paragraph" w:customStyle="1" w:styleId="13">
    <w:name w:val="Header or footer|1"/>
    <w:basedOn w:val="1"/>
    <w:qFormat/>
    <w:uiPriority w:val="0"/>
    <w:rPr>
      <w:sz w:val="22"/>
      <w:szCs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3613</Words>
  <Characters>3710</Characters>
  <Lines>0</Lines>
  <Paragraphs>0</Paragraphs>
  <TotalTime>0</TotalTime>
  <ScaleCrop>false</ScaleCrop>
  <LinksUpToDate>false</LinksUpToDate>
  <CharactersWithSpaces>3894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2026-06-25T01:05:00Z</dcterms:created>
  <dc:creator>你不懂我丶</dc:creator>
  <cp:lastModifiedBy>陕西华采招标有限公司</cp:lastModifiedBy>
  <dcterms:modified xsi:type="dcterms:W3CDTF">2026-08-07T12:00:09Z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EDF87D5D156247BFB74F34A881E73729_11</vt:lpwstr>
  </property>
  <property fmtid="{D5CDD505-2E9C-101B-9397-08002B2CF9AE}" pid="4" name="KSOTemplateDocerSaveRecord">
    <vt:lpwstr>eyJoZGlkIjoiNzlkYjQxZmY4MWQ0ZWY2YTZhOTY1MTMyMDgzMmE0NmEiLCJ1c2VySWQiOiI5MzY1NjA0ODAifQ==</vt:lpwstr>
  </property>
</Properties>
</file>