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版本号：FZBD-ZC-2026-00920260903001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2026年省级常态化帮扶资金(欠发达国有林场巩固提升任务)留坝县林下猪苓种植项目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FZBD-ZC-2026-009</w:t>
      </w:r>
      <w:r>
        <w:br/>
      </w:r>
      <w:r>
        <w:br/>
      </w:r>
      <w:r>
        <w:br/>
      </w:r>
    </w:p>
    <w:p>
      <w:pPr>
        <w:pStyle w:val="null3"/>
        <w:jc w:val="center"/>
        <w:outlineLvl w:val="2"/>
      </w:pPr>
      <w:r>
        <w:rPr>
          <w:rFonts w:ascii="仿宋_GB2312" w:hAnsi="仿宋_GB2312" w:cs="仿宋_GB2312" w:eastAsia="仿宋_GB2312"/>
          <w:sz w:val="28"/>
          <w:b/>
        </w:rPr>
        <w:t>留坝县国有马道林场</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留坝县国有马道林场</w:t>
      </w:r>
      <w:r>
        <w:rPr>
          <w:rFonts w:ascii="仿宋_GB2312" w:hAnsi="仿宋_GB2312" w:cs="仿宋_GB2312" w:eastAsia="仿宋_GB2312"/>
        </w:rPr>
        <w:t>委托，拟对</w:t>
      </w:r>
      <w:r>
        <w:rPr>
          <w:rFonts w:ascii="仿宋_GB2312" w:hAnsi="仿宋_GB2312" w:cs="仿宋_GB2312" w:eastAsia="仿宋_GB2312"/>
        </w:rPr>
        <w:t>2026年省级常态化帮扶资金(欠发达国有林场巩固提升任务)留坝县林下猪苓种植项目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FZBD-ZC-2026-009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2026年省级常态化帮扶资金(欠发达国有林场巩固提升任务)留坝县林下猪苓种植项目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按照发展林下经济的要求，猪苓种植全程采用不全面整地、不垦荒， 经营模式为仿野生浅穴栽植、林下自然抚育、生态轻管理，种植后恢复地 表原貌，依靠山林小气候自然生长。通过在龙潭坝林区仿野生种植猪苓 211亩，每亩平均100窝，三年后每窝采挖4斤，每斤成品猪苓按25元 市场价格计算，预计可产生210余万元收益。从而有效带动周边农户种植 积极性，提升全县林下中药材种植水平和产业化进程，切实提升我县林下 中药材种植规模和栽培管理质量及经济效益，使其真正成为林下经济的富民产业。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采购包1（2026年省级常态化帮扶资金(欠发达国有林场巩固提升任务)留坝县林下猪苓种植项目）：属于专门面向中小企业采购。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5、书面声明：①提供书面声明，未为本项目提供整体设计、规范编制或者项目管理、监理、检测等服务。 ②提供书面声明，本项目不接受联合体磋商。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留坝县国有马道林场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留坝县马道镇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13929165978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汉中市汉台区中山街街道办事处南团结街原二化厂院内二楼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留坝县国有马道林场</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留坝县国有马道林场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留坝县国有马道林场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按照招标⽂件和合同等相关⽂件约定执⾏。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联系人：吴女士</w:t>
      </w:r>
    </w:p>
    <w:p>
      <w:pPr>
        <w:pStyle w:val="null3"/>
      </w:pPr>
      <w:r>
        <w:rPr>
          <w:rFonts w:ascii="仿宋_GB2312" w:hAnsi="仿宋_GB2312" w:cs="仿宋_GB2312" w:eastAsia="仿宋_GB2312"/>
        </w:rPr>
        <w:t>联系电话：0916-8810098</w:t>
      </w:r>
    </w:p>
    <w:p>
      <w:pPr>
        <w:pStyle w:val="null3"/>
      </w:pPr>
      <w:r>
        <w:rPr>
          <w:rFonts w:ascii="仿宋_GB2312" w:hAnsi="仿宋_GB2312" w:cs="仿宋_GB2312" w:eastAsia="仿宋_GB2312"/>
        </w:rPr>
        <w:t>地址：汉中市汉台区中山街街道办事处南团结街原二化厂院内二楼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按照发展林下经济的要求，猪苓种植全程采用不全面整地、不垦荒， 经营模式为仿野生浅穴栽植、林下自然抚育、生态轻管理，种植后恢复地表原貌，依靠山林小气候自然生长。通过在龙潭坝林区仿野生种植猪苓 211亩，每亩平均100窝，三年后每窝采挖4斤，每斤成品猪苓按25元 市场价格计算，预计可产生210余万元收益。从而有效带动周边农户种植 积极性，提升全县林下中药材种植水平和产业化进程，切实提升我县林下中药材种植规模和栽培管理质量及经济效益，使其真正成为林下经济的富民产业。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林下猪苓种植211亩，包含后期管理。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标的名称：林下猪苓种植211亩，包含后期管理。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项目建设方案</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建设指导思想与原则</w:t>
            </w:r>
          </w:p>
          <w:p>
            <w:pPr>
              <w:pStyle w:val="null3"/>
              <w:ind w:firstLine="560"/>
              <w:jc w:val="both"/>
            </w:pPr>
            <w:r>
              <w:rPr>
                <w:rFonts w:ascii="仿宋_GB2312" w:hAnsi="仿宋_GB2312" w:cs="仿宋_GB2312" w:eastAsia="仿宋_GB2312"/>
                <w:sz w:val="28"/>
              </w:rPr>
              <w:t>紧紧围绕</w:t>
            </w:r>
            <w:r>
              <w:rPr>
                <w:rFonts w:ascii="仿宋_GB2312" w:hAnsi="仿宋_GB2312" w:cs="仿宋_GB2312" w:eastAsia="仿宋_GB2312"/>
                <w:sz w:val="28"/>
              </w:rPr>
              <w:t>“生态立县、药菌兴县、旅游强县”战略，以促进农户增收和地方经济发展为目标，以优化产业布局、调整产业结构为主线，以科技创新和标准化管理为手段，坚持集中连片、规模经营、示范带动、政府引导和市场运作的形式，建设高标准林下经济产业示范园，充分发挥示范带动作用，大力培育区域特色优势产业，着力打造林业新型科技项目、新型管理模式、新型富民示范区。</w:t>
            </w:r>
          </w:p>
          <w:p>
            <w:pPr>
              <w:pStyle w:val="null3"/>
              <w:jc w:val="both"/>
            </w:pPr>
            <w:r>
              <w:rPr>
                <w:rFonts w:ascii="仿宋_GB2312" w:hAnsi="仿宋_GB2312" w:cs="仿宋_GB2312" w:eastAsia="仿宋_GB2312"/>
                <w:sz w:val="28"/>
              </w:rPr>
              <w:t>坚持因地制宜、突出特色的原则；坚持集中连片和分步实施的原则；坚持规模化与效益化优先原则；坚持科技优先与规范化管理的原则；坚持政府扶持与农户投入相结合的原则。</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建设目标</w:t>
            </w:r>
          </w:p>
          <w:p>
            <w:pPr>
              <w:pStyle w:val="null3"/>
              <w:ind w:firstLine="560"/>
              <w:jc w:val="both"/>
            </w:pPr>
            <w:r>
              <w:rPr>
                <w:rFonts w:ascii="仿宋_GB2312" w:hAnsi="仿宋_GB2312" w:cs="仿宋_GB2312" w:eastAsia="仿宋_GB2312"/>
                <w:sz w:val="28"/>
              </w:rPr>
              <w:t>按照发展林下经济的要求，猪苓种植全程采用不全面整地、不垦荒，经营模式为仿野生浅穴栽植、林下自然抚育、生态轻管理，种植后恢复地表原貌，依靠山林小气候自然生长。通过在龙潭坝林区仿野生种植猪苓</w:t>
            </w:r>
            <w:r>
              <w:rPr>
                <w:rFonts w:ascii="仿宋_GB2312" w:hAnsi="仿宋_GB2312" w:cs="仿宋_GB2312" w:eastAsia="仿宋_GB2312"/>
                <w:sz w:val="28"/>
              </w:rPr>
              <w:t>211亩，每亩平均100窝，三年后每窝采挖4斤，每斤成品猪苓按25元市场价格计算，预计可产生210余万元收益。从而有效带动周边农户种植积极性，提升全县林下中药材种植水平和产业化进程，切实提升我县林下中药材种植规模和栽培管理质量及经济效益，使其真正成为林下经济的富民产业。</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建设任务</w:t>
            </w:r>
          </w:p>
          <w:p>
            <w:pPr>
              <w:pStyle w:val="null3"/>
              <w:ind w:firstLine="560"/>
              <w:jc w:val="both"/>
            </w:pPr>
            <w:r>
              <w:rPr>
                <w:rFonts w:ascii="仿宋_GB2312" w:hAnsi="仿宋_GB2312" w:cs="仿宋_GB2312" w:eastAsia="仿宋_GB2312"/>
                <w:sz w:val="28"/>
              </w:rPr>
              <w:t>3.1建设地点</w:t>
            </w:r>
          </w:p>
          <w:p>
            <w:pPr>
              <w:pStyle w:val="null3"/>
              <w:ind w:firstLine="536"/>
              <w:jc w:val="both"/>
            </w:pPr>
            <w:r>
              <w:rPr>
                <w:rFonts w:ascii="仿宋_GB2312" w:hAnsi="仿宋_GB2312" w:cs="仿宋_GB2312" w:eastAsia="仿宋_GB2312"/>
                <w:sz w:val="28"/>
              </w:rPr>
              <w:t>本次项目实施地点位于留坝县国有马道林场龙潭坝营林区</w:t>
            </w:r>
            <w:r>
              <w:rPr>
                <w:rFonts w:ascii="仿宋_GB2312" w:hAnsi="仿宋_GB2312" w:cs="仿宋_GB2312" w:eastAsia="仿宋_GB2312"/>
                <w:sz w:val="28"/>
              </w:rPr>
              <w:t>11林班。</w:t>
            </w:r>
          </w:p>
          <w:p>
            <w:pPr>
              <w:pStyle w:val="null3"/>
              <w:jc w:val="both"/>
            </w:pPr>
            <w:r>
              <w:rPr>
                <w:rFonts w:ascii="仿宋_GB2312" w:hAnsi="仿宋_GB2312" w:cs="仿宋_GB2312" w:eastAsia="仿宋_GB2312"/>
                <w:sz w:val="28"/>
              </w:rPr>
              <w:t>3.2内容及规模</w:t>
            </w:r>
          </w:p>
          <w:p>
            <w:pPr>
              <w:pStyle w:val="null3"/>
              <w:ind w:firstLine="560"/>
              <w:jc w:val="both"/>
            </w:pPr>
            <w:r>
              <w:rPr>
                <w:rFonts w:ascii="仿宋_GB2312" w:hAnsi="仿宋_GB2312" w:cs="仿宋_GB2312" w:eastAsia="仿宋_GB2312"/>
                <w:sz w:val="28"/>
              </w:rPr>
              <w:t>仿野生种植猪苓</w:t>
            </w:r>
            <w:r>
              <w:rPr>
                <w:rFonts w:ascii="仿宋_GB2312" w:hAnsi="仿宋_GB2312" w:cs="仿宋_GB2312" w:eastAsia="仿宋_GB2312"/>
                <w:sz w:val="28"/>
              </w:rPr>
              <w:t>211亩，每亩平均100窝，共计21100窝。建设内容主要包括清林、整地、人工栽植及后期管护等。</w:t>
            </w:r>
          </w:p>
          <w:p>
            <w:pPr>
              <w:pStyle w:val="null3"/>
              <w:jc w:val="both"/>
            </w:pPr>
            <w:r>
              <w:rPr>
                <w:rFonts w:ascii="仿宋_GB2312" w:hAnsi="仿宋_GB2312" w:cs="仿宋_GB2312" w:eastAsia="仿宋_GB2312"/>
                <w:sz w:val="28"/>
              </w:rPr>
              <w:t>4主要栽植技术措施</w:t>
            </w:r>
          </w:p>
          <w:p>
            <w:pPr>
              <w:pStyle w:val="null3"/>
              <w:ind w:firstLine="560"/>
              <w:jc w:val="both"/>
            </w:pPr>
            <w:r>
              <w:rPr>
                <w:rFonts w:ascii="仿宋_GB2312" w:hAnsi="仿宋_GB2312" w:cs="仿宋_GB2312" w:eastAsia="仿宋_GB2312"/>
                <w:sz w:val="28"/>
              </w:rPr>
              <w:t>4.1选地</w:t>
            </w:r>
          </w:p>
          <w:p>
            <w:pPr>
              <w:pStyle w:val="null3"/>
              <w:ind w:firstLine="560"/>
              <w:jc w:val="both"/>
            </w:pPr>
            <w:r>
              <w:rPr>
                <w:rFonts w:ascii="仿宋_GB2312" w:hAnsi="仿宋_GB2312" w:cs="仿宋_GB2312" w:eastAsia="仿宋_GB2312"/>
                <w:sz w:val="28"/>
              </w:rPr>
              <w:t>作业区位于龙潭坝正河。海拔</w:t>
            </w:r>
            <w:r>
              <w:rPr>
                <w:rFonts w:ascii="仿宋_GB2312" w:hAnsi="仿宋_GB2312" w:cs="仿宋_GB2312" w:eastAsia="仿宋_GB2312"/>
                <w:sz w:val="28"/>
              </w:rPr>
              <w:t>1200米左右，坐北面南属于半阴半阳坡面，坡度&lt;35°,郁闭度0.4—0.7。主要以栎类、华山松、桦类、槭树、漆树、椴树等阔叶落叶树种为主的次生林，项目区生态环境良好，动植物资源丰富，气候温和湿润，年平均降雨量850毫米，土壤土层深厚肥沃、疏松透气、腐殖质含量丰富，以pH5.0~6.7微酸性砂壤土、壤土为主。作业区与一条4米宽砂石道路相邻，交通便利，有利于生产物资及成熟猪苓采收运输。作业区水源条件好，与5米宽正河相邻，河水常年不断流，干旱情况下有利于抽水灌溉。作业区距离林场场部13公里，场部有晾晒条件。综上所述，从气候、土壤、林相、交通条件，项目选址符合林下仿野生生态猪苓种植及后续管理。</w:t>
            </w:r>
          </w:p>
          <w:p>
            <w:pPr>
              <w:pStyle w:val="null3"/>
              <w:ind w:firstLine="560"/>
              <w:jc w:val="both"/>
            </w:pPr>
            <w:r>
              <w:rPr>
                <w:rFonts w:ascii="仿宋_GB2312" w:hAnsi="仿宋_GB2312" w:cs="仿宋_GB2312" w:eastAsia="仿宋_GB2312"/>
                <w:sz w:val="28"/>
              </w:rPr>
              <w:t>4.2清林、整地</w:t>
            </w:r>
          </w:p>
          <w:p>
            <w:pPr>
              <w:pStyle w:val="null3"/>
              <w:ind w:firstLine="560"/>
              <w:jc w:val="both"/>
            </w:pPr>
            <w:r>
              <w:rPr>
                <w:rFonts w:ascii="仿宋_GB2312" w:hAnsi="仿宋_GB2312" w:cs="仿宋_GB2312" w:eastAsia="仿宋_GB2312"/>
                <w:sz w:val="28"/>
              </w:rPr>
              <w:t>在林下坡度较缓，阳光充足，立地条件好的地带，清除过密的灌木、杂草及石块，横向带状开沟整地，坑深</w:t>
            </w:r>
            <w:r>
              <w:rPr>
                <w:rFonts w:ascii="仿宋_GB2312" w:hAnsi="仿宋_GB2312" w:cs="仿宋_GB2312" w:eastAsia="仿宋_GB2312"/>
                <w:sz w:val="28"/>
              </w:rPr>
              <w:t>8-15公分，宽50-80公分，坑底土壤挖松整平。</w:t>
            </w:r>
          </w:p>
          <w:p>
            <w:pPr>
              <w:pStyle w:val="null3"/>
              <w:ind w:firstLine="560"/>
              <w:jc w:val="both"/>
            </w:pPr>
            <w:r>
              <w:rPr>
                <w:rFonts w:ascii="仿宋_GB2312" w:hAnsi="仿宋_GB2312" w:cs="仿宋_GB2312" w:eastAsia="仿宋_GB2312"/>
                <w:sz w:val="28"/>
              </w:rPr>
              <w:t>在郁闭度</w:t>
            </w:r>
            <w:r>
              <w:rPr>
                <w:rFonts w:ascii="仿宋_GB2312" w:hAnsi="仿宋_GB2312" w:cs="仿宋_GB2312" w:eastAsia="仿宋_GB2312"/>
                <w:sz w:val="28"/>
              </w:rPr>
              <w:t>0.5以上的地块，坡度较陡、立地条件较差的地块不清林，只依据地形地貌进行穴状整地。</w:t>
            </w:r>
          </w:p>
          <w:p>
            <w:pPr>
              <w:pStyle w:val="null3"/>
              <w:ind w:firstLine="560"/>
              <w:jc w:val="both"/>
            </w:pPr>
            <w:r>
              <w:rPr>
                <w:rFonts w:ascii="仿宋_GB2312" w:hAnsi="仿宋_GB2312" w:cs="仿宋_GB2312" w:eastAsia="仿宋_GB2312"/>
                <w:sz w:val="28"/>
              </w:rPr>
              <w:t>4.3猪苓种</w:t>
            </w:r>
          </w:p>
          <w:p>
            <w:pPr>
              <w:pStyle w:val="null3"/>
              <w:ind w:firstLine="560"/>
              <w:jc w:val="both"/>
            </w:pPr>
            <w:r>
              <w:rPr>
                <w:rFonts w:ascii="仿宋_GB2312" w:hAnsi="仿宋_GB2312" w:cs="仿宋_GB2312" w:eastAsia="仿宋_GB2312"/>
                <w:sz w:val="28"/>
              </w:rPr>
              <w:t>选择本地野生或人工种植的二代优良猪苓作为种子，在采购猪苓种子时选择灰苓</w:t>
            </w:r>
            <w:r>
              <w:rPr>
                <w:rFonts w:ascii="仿宋_GB2312" w:hAnsi="仿宋_GB2312" w:cs="仿宋_GB2312" w:eastAsia="仿宋_GB2312"/>
                <w:sz w:val="28"/>
              </w:rPr>
              <w:t>(又叫嫩苓、青年苓种),该种子外皮灰褐色、偏浅、肉质白嫩、弹性好、生长点多，是最佳繁育种子，萌发快、成活率高，是种植首选。猪苓菌核应新鲜、健壮饱满、质地均匀有弹性、分支少、断面呈白色或淡黄色，且无杂菌污染、无霉变，单个重10g以上为宜。每窝下优质猪苓种1斤。</w:t>
            </w:r>
          </w:p>
          <w:tbl>
            <w:tblPr>
              <w:tblInd w:type="dxa" w:w="120"/>
              <w:tblBorders>
                <w:top w:val="none" w:color="000000" w:sz="4"/>
                <w:left w:val="none" w:color="000000" w:sz="4"/>
                <w:bottom w:val="none" w:color="000000" w:sz="4"/>
                <w:right w:val="none" w:color="000000" w:sz="4"/>
                <w:insideH w:val="none"/>
                <w:insideV w:val="none"/>
              </w:tblBorders>
            </w:tblPr>
            <w:tblGrid>
              <w:gridCol w:w="230"/>
              <w:gridCol w:w="234"/>
              <w:gridCol w:w="379"/>
              <w:gridCol w:w="853"/>
              <w:gridCol w:w="268"/>
              <w:gridCol w:w="251"/>
              <w:gridCol w:w="315"/>
            </w:tblGrid>
            <w:tr>
              <w:tc>
                <w:tcPr>
                  <w:tcW w:type="dxa" w:w="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品种</w:t>
                  </w:r>
                </w:p>
              </w:tc>
              <w:tc>
                <w:tcPr>
                  <w:tcW w:type="dxa" w:w="2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类型</w:t>
                  </w:r>
                </w:p>
              </w:tc>
              <w:tc>
                <w:tcPr>
                  <w:tcW w:type="dxa" w:w="3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规格</w:t>
                  </w:r>
                </w:p>
              </w:tc>
              <w:tc>
                <w:tcPr>
                  <w:tcW w:type="dxa" w:w="8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质量标准</w:t>
                  </w:r>
                </w:p>
              </w:tc>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种植面</w:t>
                  </w:r>
                </w:p>
                <w:p>
                  <w:pPr>
                    <w:pStyle w:val="null3"/>
                    <w:jc w:val="both"/>
                  </w:pPr>
                  <w:r>
                    <w:rPr>
                      <w:rFonts w:ascii="仿宋_GB2312" w:hAnsi="仿宋_GB2312" w:cs="仿宋_GB2312" w:eastAsia="仿宋_GB2312"/>
                      <w:sz w:val="28"/>
                    </w:rPr>
                    <w:t>积</w:t>
                  </w:r>
                  <w:r>
                    <w:rPr>
                      <w:rFonts w:ascii="仿宋_GB2312" w:hAnsi="仿宋_GB2312" w:cs="仿宋_GB2312" w:eastAsia="仿宋_GB2312"/>
                      <w:sz w:val="28"/>
                    </w:rPr>
                    <w:t>(亩)</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平均每</w:t>
                  </w:r>
                </w:p>
                <w:p>
                  <w:pPr>
                    <w:pStyle w:val="null3"/>
                    <w:jc w:val="both"/>
                  </w:pPr>
                  <w:r>
                    <w:rPr>
                      <w:rFonts w:ascii="仿宋_GB2312" w:hAnsi="仿宋_GB2312" w:cs="仿宋_GB2312" w:eastAsia="仿宋_GB2312"/>
                      <w:sz w:val="28"/>
                    </w:rPr>
                    <w:t>亩用量</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总用量</w:t>
                  </w:r>
                </w:p>
              </w:tc>
            </w:tr>
            <w:tr>
              <w:tc>
                <w:tcPr>
                  <w:tcW w:type="dxa" w:w="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灰苓</w:t>
                  </w:r>
                </w:p>
              </w:tc>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菌核</w:t>
                  </w:r>
                </w:p>
              </w:tc>
              <w:tc>
                <w:tcPr>
                  <w:tcW w:type="dxa" w:w="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单个重</w:t>
                  </w:r>
                </w:p>
                <w:p>
                  <w:pPr>
                    <w:pStyle w:val="null3"/>
                    <w:jc w:val="both"/>
                  </w:pPr>
                  <w:r>
                    <w:rPr>
                      <w:rFonts w:ascii="仿宋_GB2312" w:hAnsi="仿宋_GB2312" w:cs="仿宋_GB2312" w:eastAsia="仿宋_GB2312"/>
                      <w:sz w:val="28"/>
                    </w:rPr>
                    <w:t>10g~100g为宜。</w:t>
                  </w:r>
                </w:p>
              </w:tc>
              <w:tc>
                <w:tcPr>
                  <w:tcW w:type="dxa" w:w="8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猪苓菌核应新鲜、健壮饱</w:t>
                  </w:r>
                </w:p>
                <w:p>
                  <w:pPr>
                    <w:pStyle w:val="null3"/>
                    <w:jc w:val="both"/>
                  </w:pPr>
                  <w:r>
                    <w:rPr>
                      <w:rFonts w:ascii="仿宋_GB2312" w:hAnsi="仿宋_GB2312" w:cs="仿宋_GB2312" w:eastAsia="仿宋_GB2312"/>
                      <w:sz w:val="28"/>
                    </w:rPr>
                    <w:t>满、质地均匀有弹性、分支少、断面呈白色或淡黄色，且无杂菌污染、无霉变，大块猪苓种一般从离层处或细腰处掰开即可，忌刀切。</w:t>
                  </w:r>
                </w:p>
              </w:tc>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211亩</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100斤</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21100斤</w:t>
                  </w:r>
                </w:p>
              </w:tc>
            </w:tr>
          </w:tbl>
          <w:p>
            <w:pPr>
              <w:pStyle w:val="null3"/>
              <w:ind w:firstLine="560"/>
              <w:jc w:val="both"/>
            </w:pPr>
            <w:r>
              <w:rPr>
                <w:rFonts w:ascii="仿宋_GB2312" w:hAnsi="仿宋_GB2312" w:cs="仿宋_GB2312" w:eastAsia="仿宋_GB2312"/>
                <w:sz w:val="28"/>
              </w:rPr>
              <w:t>4.4菌材</w:t>
            </w:r>
          </w:p>
          <w:p>
            <w:pPr>
              <w:pStyle w:val="null3"/>
              <w:ind w:firstLine="560"/>
              <w:jc w:val="both"/>
            </w:pPr>
            <w:r>
              <w:rPr>
                <w:rFonts w:ascii="仿宋_GB2312" w:hAnsi="仿宋_GB2312" w:cs="仿宋_GB2312" w:eastAsia="仿宋_GB2312"/>
                <w:sz w:val="28"/>
              </w:rPr>
              <w:t>选用壳斗科、桦木科等不含芳香油脂的落叶阔叶树种，如青冈、栓皮栎、板栗、桦树等，宜在树木休眠期砍伐为佳。菌材直径</w:t>
            </w:r>
            <w:r>
              <w:rPr>
                <w:rFonts w:ascii="仿宋_GB2312" w:hAnsi="仿宋_GB2312" w:cs="仿宋_GB2312" w:eastAsia="仿宋_GB2312"/>
                <w:sz w:val="28"/>
              </w:rPr>
              <w:t>8cm~12cm,长度50cm~60cm。晾至截面出现细小裂纹，忌曝晒，均匀砍3排~4排鱼鳞口，深达木质部。每窝需湿椴木菌棒20根(菌棒上下两层摆放)。</w:t>
            </w:r>
          </w:p>
          <w:p>
            <w:pPr>
              <w:pStyle w:val="null3"/>
              <w:ind w:firstLine="560"/>
              <w:jc w:val="both"/>
            </w:pPr>
            <w:r>
              <w:rPr>
                <w:rFonts w:ascii="仿宋_GB2312" w:hAnsi="仿宋_GB2312" w:cs="仿宋_GB2312" w:eastAsia="仿宋_GB2312"/>
                <w:sz w:val="28"/>
              </w:rPr>
              <w:t>4.5蜜环菌</w:t>
            </w:r>
          </w:p>
          <w:p>
            <w:pPr>
              <w:pStyle w:val="null3"/>
              <w:ind w:firstLine="560"/>
              <w:jc w:val="both"/>
            </w:pPr>
            <w:r>
              <w:rPr>
                <w:rFonts w:ascii="仿宋_GB2312" w:hAnsi="仿宋_GB2312" w:cs="仿宋_GB2312" w:eastAsia="仿宋_GB2312"/>
                <w:sz w:val="28"/>
              </w:rPr>
              <w:t>从具有生产资质的厂家购买活力强的蜜环菌</w:t>
            </w:r>
            <w:r>
              <w:rPr>
                <w:rFonts w:ascii="仿宋_GB2312" w:hAnsi="仿宋_GB2312" w:cs="仿宋_GB2312" w:eastAsia="仿宋_GB2312"/>
                <w:sz w:val="28"/>
              </w:rPr>
              <w:t>(品种：A9)共42200瓶，规格2.5斤/瓶。要求蜜环菌表面呈白色或黄白色、色泽鲜亮，菌索分支多、有弹性，长满基质，无干缩、无杂菌。每窝需下优质、健壮的蜜环菌种2瓶。</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242"/>
              <w:gridCol w:w="415"/>
              <w:gridCol w:w="584"/>
              <w:gridCol w:w="324"/>
              <w:gridCol w:w="333"/>
              <w:gridCol w:w="398"/>
            </w:tblGrid>
            <w:tr>
              <w:tc>
                <w:tcPr>
                  <w:tcW w:type="dxa" w:w="2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品种</w:t>
                  </w:r>
                </w:p>
              </w:tc>
              <w:tc>
                <w:tcPr>
                  <w:tcW w:type="dxa" w:w="2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类型</w:t>
                  </w:r>
                </w:p>
              </w:tc>
              <w:tc>
                <w:tcPr>
                  <w:tcW w:type="dxa" w:w="4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规格</w:t>
                  </w:r>
                </w:p>
              </w:tc>
              <w:tc>
                <w:tcPr>
                  <w:tcW w:type="dxa" w:w="5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质量标准</w:t>
                  </w:r>
                </w:p>
              </w:tc>
              <w:tc>
                <w:tcPr>
                  <w:tcW w:type="dxa" w:w="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种植面积</w:t>
                  </w:r>
                </w:p>
                <w:p>
                  <w:pPr>
                    <w:pStyle w:val="null3"/>
                    <w:ind w:firstLine="560"/>
                    <w:jc w:val="both"/>
                  </w:pPr>
                  <w:r>
                    <w:rPr>
                      <w:rFonts w:ascii="仿宋_GB2312" w:hAnsi="仿宋_GB2312" w:cs="仿宋_GB2312" w:eastAsia="仿宋_GB2312"/>
                      <w:sz w:val="28"/>
                    </w:rPr>
                    <w:t>(亩)</w:t>
                  </w:r>
                </w:p>
              </w:tc>
              <w:tc>
                <w:tcPr>
                  <w:tcW w:type="dxa" w:w="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平均每亩</w:t>
                  </w:r>
                </w:p>
                <w:p>
                  <w:pPr>
                    <w:pStyle w:val="null3"/>
                    <w:jc w:val="both"/>
                  </w:pPr>
                  <w:r>
                    <w:rPr>
                      <w:rFonts w:ascii="仿宋_GB2312" w:hAnsi="仿宋_GB2312" w:cs="仿宋_GB2312" w:eastAsia="仿宋_GB2312"/>
                      <w:sz w:val="28"/>
                    </w:rPr>
                    <w:t>用量</w:t>
                  </w:r>
                </w:p>
              </w:tc>
              <w:tc>
                <w:tcPr>
                  <w:tcW w:type="dxa" w:w="3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总用量</w:t>
                  </w:r>
                </w:p>
              </w:tc>
            </w:tr>
            <w:tr>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猪苓</w:t>
                  </w:r>
                </w:p>
                <w:p>
                  <w:pPr>
                    <w:pStyle w:val="null3"/>
                    <w:jc w:val="both"/>
                  </w:pPr>
                  <w:r>
                    <w:rPr>
                      <w:rFonts w:ascii="仿宋_GB2312" w:hAnsi="仿宋_GB2312" w:cs="仿宋_GB2312" w:eastAsia="仿宋_GB2312"/>
                      <w:sz w:val="28"/>
                    </w:rPr>
                    <w:t>蜜环</w:t>
                  </w:r>
                </w:p>
                <w:p>
                  <w:pPr>
                    <w:pStyle w:val="null3"/>
                    <w:jc w:val="both"/>
                  </w:pPr>
                  <w:r>
                    <w:rPr>
                      <w:rFonts w:ascii="仿宋_GB2312" w:hAnsi="仿宋_GB2312" w:cs="仿宋_GB2312" w:eastAsia="仿宋_GB2312"/>
                      <w:sz w:val="28"/>
                    </w:rPr>
                    <w:t>菌</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both"/>
                  </w:pPr>
                  <w:r>
                    <w:rPr>
                      <w:rFonts w:ascii="仿宋_GB2312" w:hAnsi="仿宋_GB2312" w:cs="仿宋_GB2312" w:eastAsia="仿宋_GB2312"/>
                      <w:sz w:val="28"/>
                    </w:rPr>
                    <w:t>A9</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菌索粗壮穿透力强</w:t>
                  </w:r>
                </w:p>
              </w:tc>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要求表面呈白色或黄白色、色泽鲜亮，菌索分支多、有弹性</w:t>
                  </w:r>
                  <w:r>
                    <w:rPr>
                      <w:rFonts w:ascii="仿宋_GB2312" w:hAnsi="仿宋_GB2312" w:cs="仿宋_GB2312" w:eastAsia="仿宋_GB2312"/>
                      <w:sz w:val="28"/>
                    </w:rPr>
                    <w:t>、</w:t>
                  </w:r>
                  <w:r>
                    <w:rPr>
                      <w:rFonts w:ascii="仿宋_GB2312" w:hAnsi="仿宋_GB2312" w:cs="仿宋_GB2312" w:eastAsia="仿宋_GB2312"/>
                      <w:sz w:val="28"/>
                    </w:rPr>
                    <w:t>长满基质</w:t>
                  </w:r>
                  <w:r>
                    <w:rPr>
                      <w:rFonts w:ascii="仿宋_GB2312" w:hAnsi="仿宋_GB2312" w:cs="仿宋_GB2312" w:eastAsia="仿宋_GB2312"/>
                      <w:sz w:val="28"/>
                    </w:rPr>
                    <w:t>，</w:t>
                  </w:r>
                  <w:r>
                    <w:rPr>
                      <w:rFonts w:ascii="仿宋_GB2312" w:hAnsi="仿宋_GB2312" w:cs="仿宋_GB2312" w:eastAsia="仿宋_GB2312"/>
                      <w:sz w:val="28"/>
                    </w:rPr>
                    <w:t>无干缩、无杂菌。</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211</w:t>
                  </w: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200</w:t>
                  </w:r>
                </w:p>
              </w:tc>
              <w:tc>
                <w:tcPr>
                  <w:tcW w:type="dxa" w:w="3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8"/>
                    </w:rPr>
                    <w:t>42200</w:t>
                  </w:r>
                </w:p>
              </w:tc>
            </w:tr>
          </w:tbl>
          <w:p>
            <w:pPr>
              <w:pStyle w:val="null3"/>
              <w:ind w:firstLine="560"/>
              <w:jc w:val="both"/>
            </w:pPr>
            <w:r>
              <w:rPr>
                <w:rFonts w:ascii="仿宋_GB2312" w:hAnsi="仿宋_GB2312" w:cs="仿宋_GB2312" w:eastAsia="仿宋_GB2312"/>
                <w:sz w:val="28"/>
              </w:rPr>
              <w:t>4.6仿野生生态栽植方法</w:t>
            </w:r>
          </w:p>
          <w:p>
            <w:pPr>
              <w:pStyle w:val="null3"/>
              <w:ind w:firstLine="560"/>
              <w:jc w:val="both"/>
            </w:pPr>
            <w:r>
              <w:rPr>
                <w:rFonts w:ascii="仿宋_GB2312" w:hAnsi="仿宋_GB2312" w:cs="仿宋_GB2312" w:eastAsia="仿宋_GB2312"/>
                <w:sz w:val="28"/>
              </w:rPr>
              <w:t>挖穴：在立地条件好的的地块依据地形开挖长方形土坑，并做好排水沟防止内涝，在立地条件差的依地貌挖点状土穴，深度</w:t>
            </w:r>
            <w:r>
              <w:rPr>
                <w:rFonts w:ascii="仿宋_GB2312" w:hAnsi="仿宋_GB2312" w:cs="仿宋_GB2312" w:eastAsia="仿宋_GB2312"/>
                <w:sz w:val="28"/>
              </w:rPr>
              <w:t>8cm～15cm、宽50 cm～80cm,长宽根据地形和栽培量决定。坑底土壤挖松整平，在穴内底层铺入5cm厚腐殖土，促进蜜环菌迅速生长，坑底要有一定的坡度，以利排水。</w:t>
            </w:r>
          </w:p>
          <w:p>
            <w:pPr>
              <w:pStyle w:val="null3"/>
              <w:ind w:firstLine="560"/>
              <w:jc w:val="both"/>
            </w:pPr>
            <w:r>
              <w:rPr>
                <w:rFonts w:ascii="仿宋_GB2312" w:hAnsi="仿宋_GB2312" w:cs="仿宋_GB2312" w:eastAsia="仿宋_GB2312"/>
                <w:sz w:val="28"/>
              </w:rPr>
              <w:t>底层：坑底先铺一层湿润的落叶，然后摆放一层</w:t>
            </w:r>
            <w:r>
              <w:rPr>
                <w:rFonts w:ascii="仿宋_GB2312" w:hAnsi="仿宋_GB2312" w:cs="仿宋_GB2312" w:eastAsia="仿宋_GB2312"/>
                <w:sz w:val="28"/>
              </w:rPr>
              <w:t>10cm直径以上椴木菌棒5根，菌棒间隔2cm左右，菌棒两端放置蜜环菌，菌棒间隔填满泥土，防止滋生杂菌。</w:t>
            </w:r>
          </w:p>
          <w:p>
            <w:pPr>
              <w:pStyle w:val="null3"/>
              <w:ind w:firstLine="560"/>
              <w:jc w:val="both"/>
            </w:pPr>
            <w:r>
              <w:rPr>
                <w:rFonts w:ascii="仿宋_GB2312" w:hAnsi="仿宋_GB2312" w:cs="仿宋_GB2312" w:eastAsia="仿宋_GB2312"/>
                <w:sz w:val="28"/>
              </w:rPr>
              <w:t>播种：将精选的猪苓种</w:t>
            </w:r>
            <w:r>
              <w:rPr>
                <w:rFonts w:ascii="仿宋_GB2312" w:hAnsi="仿宋_GB2312" w:cs="仿宋_GB2312" w:eastAsia="仿宋_GB2312"/>
                <w:sz w:val="28"/>
              </w:rPr>
              <w:t>(小块，约10-20克)紧贴在菌材的两端和鱼鳞口处，特别是蜜环菌菌索密集的地方。</w:t>
            </w:r>
          </w:p>
          <w:p>
            <w:pPr>
              <w:pStyle w:val="null3"/>
              <w:jc w:val="both"/>
            </w:pPr>
            <w:r>
              <w:rPr>
                <w:rFonts w:ascii="仿宋_GB2312" w:hAnsi="仿宋_GB2312" w:cs="仿宋_GB2312" w:eastAsia="仿宋_GB2312"/>
                <w:sz w:val="28"/>
              </w:rPr>
              <w:t>填充：用腐殖土或半腐熟的落叶填充菌材间的空隙，并轻轻压实。上层：重复上述步骤，可再铺一层菌材和一层苓种。铺</w:t>
            </w:r>
            <w:r>
              <w:rPr>
                <w:rFonts w:ascii="仿宋_GB2312" w:hAnsi="仿宋_GB2312" w:cs="仿宋_GB2312" w:eastAsia="仿宋_GB2312"/>
                <w:sz w:val="28"/>
              </w:rPr>
              <w:t>2层即可。</w:t>
            </w:r>
          </w:p>
          <w:p>
            <w:pPr>
              <w:pStyle w:val="null3"/>
              <w:jc w:val="both"/>
            </w:pPr>
            <w:r>
              <w:rPr>
                <w:rFonts w:ascii="仿宋_GB2312" w:hAnsi="仿宋_GB2312" w:cs="仿宋_GB2312" w:eastAsia="仿宋_GB2312"/>
                <w:sz w:val="28"/>
              </w:rPr>
              <w:t>覆土：最上层覆盖</w:t>
            </w:r>
            <w:r>
              <w:rPr>
                <w:rFonts w:ascii="仿宋_GB2312" w:hAnsi="仿宋_GB2312" w:cs="仿宋_GB2312" w:eastAsia="仿宋_GB2312"/>
                <w:sz w:val="28"/>
              </w:rPr>
              <w:t>10-15厘米的腐殖土，使之略高于地面，呈龟背形，以防积水。最后在表层盖上树叶或杂草保温保湿。</w:t>
            </w:r>
          </w:p>
          <w:p>
            <w:pPr>
              <w:pStyle w:val="null3"/>
              <w:ind w:firstLine="560"/>
              <w:jc w:val="both"/>
            </w:pPr>
            <w:r>
              <w:rPr>
                <w:rFonts w:ascii="仿宋_GB2312" w:hAnsi="仿宋_GB2312" w:cs="仿宋_GB2312" w:eastAsia="仿宋_GB2312"/>
                <w:sz w:val="28"/>
              </w:rPr>
              <w:t>4.7后期管护(2027年-2030年)</w:t>
            </w:r>
          </w:p>
          <w:p>
            <w:pPr>
              <w:pStyle w:val="null3"/>
              <w:ind w:firstLine="560"/>
              <w:jc w:val="both"/>
            </w:pPr>
            <w:r>
              <w:rPr>
                <w:rFonts w:ascii="仿宋_GB2312" w:hAnsi="仿宋_GB2312" w:cs="仿宋_GB2312" w:eastAsia="仿宋_GB2312"/>
                <w:sz w:val="28"/>
              </w:rPr>
              <w:t>①水分管理</w:t>
            </w:r>
          </w:p>
          <w:p>
            <w:pPr>
              <w:pStyle w:val="null3"/>
              <w:ind w:firstLine="560"/>
              <w:jc w:val="both"/>
            </w:pPr>
            <w:r>
              <w:rPr>
                <w:rFonts w:ascii="仿宋_GB2312" w:hAnsi="仿宋_GB2312" w:cs="仿宋_GB2312" w:eastAsia="仿宋_GB2312"/>
                <w:sz w:val="28"/>
              </w:rPr>
              <w:t>核心：保持土壤湿润但不积水。土壤含水量通常保持在</w:t>
            </w:r>
            <w:r>
              <w:rPr>
                <w:rFonts w:ascii="仿宋_GB2312" w:hAnsi="仿宋_GB2312" w:cs="仿宋_GB2312" w:eastAsia="仿宋_GB2312"/>
                <w:sz w:val="28"/>
              </w:rPr>
              <w:t>30%—50%。干旱期：久旱无雨时，需覆盖落叶、杂草保墒。种植区旁有河流水量充沛取水很方便水源，可适当喷水或引水喷灌，忌大水漫灌。</w:t>
            </w:r>
          </w:p>
          <w:p>
            <w:pPr>
              <w:pStyle w:val="null3"/>
              <w:ind w:firstLine="560"/>
              <w:jc w:val="both"/>
            </w:pPr>
            <w:r>
              <w:rPr>
                <w:rFonts w:ascii="仿宋_GB2312" w:hAnsi="仿宋_GB2312" w:cs="仿宋_GB2312" w:eastAsia="仿宋_GB2312"/>
                <w:sz w:val="28"/>
              </w:rPr>
              <w:t>雨季：汛期雨水频繁且雨量较大时，务必保证排水通畅，严防窖内积水导致烂苓，雨后及时培土，避免菌棒外露。</w:t>
            </w:r>
          </w:p>
          <w:p>
            <w:pPr>
              <w:pStyle w:val="null3"/>
              <w:ind w:firstLine="560"/>
              <w:jc w:val="both"/>
            </w:pPr>
            <w:r>
              <w:rPr>
                <w:rFonts w:ascii="仿宋_GB2312" w:hAnsi="仿宋_GB2312" w:cs="仿宋_GB2312" w:eastAsia="仿宋_GB2312"/>
                <w:sz w:val="28"/>
              </w:rPr>
              <w:t>②温度管理</w:t>
            </w:r>
          </w:p>
          <w:p>
            <w:pPr>
              <w:pStyle w:val="null3"/>
              <w:ind w:firstLine="560"/>
              <w:jc w:val="both"/>
            </w:pPr>
            <w:r>
              <w:rPr>
                <w:rFonts w:ascii="仿宋_GB2312" w:hAnsi="仿宋_GB2312" w:cs="仿宋_GB2312" w:eastAsia="仿宋_GB2312"/>
                <w:sz w:val="28"/>
              </w:rPr>
              <w:t>猪苓在</w:t>
            </w:r>
            <w:r>
              <w:rPr>
                <w:rFonts w:ascii="仿宋_GB2312" w:hAnsi="仿宋_GB2312" w:cs="仿宋_GB2312" w:eastAsia="仿宋_GB2312"/>
                <w:sz w:val="28"/>
              </w:rPr>
              <w:t>18—25℃生长良好。</w:t>
            </w:r>
          </w:p>
          <w:p>
            <w:pPr>
              <w:pStyle w:val="null3"/>
              <w:ind w:firstLine="560"/>
              <w:jc w:val="both"/>
            </w:pPr>
            <w:r>
              <w:rPr>
                <w:rFonts w:ascii="仿宋_GB2312" w:hAnsi="仿宋_GB2312" w:cs="仿宋_GB2312" w:eastAsia="仿宋_GB2312"/>
                <w:sz w:val="28"/>
              </w:rPr>
              <w:t>夏季：依靠树林自然遮荫或通过调整覆盖层厚度来降温。</w:t>
            </w:r>
          </w:p>
          <w:p>
            <w:pPr>
              <w:pStyle w:val="null3"/>
              <w:ind w:firstLine="560"/>
              <w:jc w:val="both"/>
            </w:pPr>
            <w:r>
              <w:rPr>
                <w:rFonts w:ascii="仿宋_GB2312" w:hAnsi="仿宋_GB2312" w:cs="仿宋_GB2312" w:eastAsia="仿宋_GB2312"/>
                <w:sz w:val="28"/>
              </w:rPr>
              <w:t>冬季：厚厚的积雪和覆土层能起到保温作用，一般可安全越冬。如</w:t>
            </w:r>
            <w:r>
              <w:rPr>
                <w:rFonts w:ascii="仿宋_GB2312" w:hAnsi="仿宋_GB2312" w:cs="仿宋_GB2312" w:eastAsia="仿宋_GB2312"/>
                <w:sz w:val="28"/>
              </w:rPr>
              <w:t>遇</w:t>
            </w:r>
            <w:r>
              <w:rPr>
                <w:rFonts w:ascii="仿宋_GB2312" w:hAnsi="仿宋_GB2312" w:cs="仿宋_GB2312" w:eastAsia="仿宋_GB2312"/>
                <w:sz w:val="28"/>
              </w:rPr>
              <w:t>极端低温，土壤温度低于</w:t>
            </w:r>
            <w:r>
              <w:rPr>
                <w:rFonts w:ascii="仿宋_GB2312" w:hAnsi="仿宋_GB2312" w:cs="仿宋_GB2312" w:eastAsia="仿宋_GB2312"/>
                <w:sz w:val="28"/>
              </w:rPr>
              <w:t>-5℃,要注意覆草、加盖塑料薄膜或其他保温措施帮助安全过冬。</w:t>
            </w:r>
          </w:p>
          <w:p>
            <w:pPr>
              <w:pStyle w:val="null3"/>
              <w:ind w:firstLine="560"/>
              <w:jc w:val="both"/>
            </w:pPr>
            <w:r>
              <w:rPr>
                <w:rFonts w:ascii="仿宋_GB2312" w:hAnsi="仿宋_GB2312" w:cs="仿宋_GB2312" w:eastAsia="仿宋_GB2312"/>
                <w:sz w:val="28"/>
              </w:rPr>
              <w:t>③除草与看护</w:t>
            </w:r>
          </w:p>
          <w:p>
            <w:pPr>
              <w:pStyle w:val="null3"/>
              <w:ind w:firstLine="560"/>
              <w:jc w:val="both"/>
            </w:pPr>
            <w:r>
              <w:rPr>
                <w:rFonts w:ascii="仿宋_GB2312" w:hAnsi="仿宋_GB2312" w:cs="仿宋_GB2312" w:eastAsia="仿宋_GB2312"/>
                <w:sz w:val="28"/>
              </w:rPr>
              <w:t>及时清除种植区周围的杂草，避免与猪苓争夺养分。防止人畜践踏，不定期巡查培土，防止人畜践踏，造成栽培坑被踩踏下陷，破坏了猪苓的生长微环境。后期观察如果鼠害严重，可采用扑鼠夹和毒饵等措施防治鼠害。</w:t>
            </w:r>
          </w:p>
          <w:p>
            <w:pPr>
              <w:pStyle w:val="null3"/>
              <w:ind w:firstLine="560"/>
              <w:jc w:val="both"/>
            </w:pPr>
            <w:r>
              <w:rPr>
                <w:rFonts w:ascii="仿宋_GB2312" w:hAnsi="仿宋_GB2312" w:cs="仿宋_GB2312" w:eastAsia="仿宋_GB2312"/>
                <w:sz w:val="28"/>
              </w:rPr>
              <w:t>4.8猪苓采收</w:t>
            </w:r>
          </w:p>
          <w:p>
            <w:pPr>
              <w:pStyle w:val="null3"/>
              <w:ind w:firstLine="560"/>
              <w:jc w:val="both"/>
            </w:pPr>
            <w:r>
              <w:rPr>
                <w:rFonts w:ascii="仿宋_GB2312" w:hAnsi="仿宋_GB2312" w:cs="仿宋_GB2312" w:eastAsia="仿宋_GB2312"/>
                <w:sz w:val="28"/>
              </w:rPr>
              <w:t>①最佳采挖时间：生长3—4年后猪苓可采收，一般在10月下旬至次年2月，猪苓休眠期内。</w:t>
            </w:r>
          </w:p>
          <w:p>
            <w:pPr>
              <w:pStyle w:val="null3"/>
              <w:ind w:firstLine="560"/>
              <w:jc w:val="both"/>
            </w:pPr>
            <w:r>
              <w:rPr>
                <w:rFonts w:ascii="仿宋_GB2312" w:hAnsi="仿宋_GB2312" w:cs="仿宋_GB2312" w:eastAsia="仿宋_GB2312"/>
                <w:sz w:val="28"/>
              </w:rPr>
              <w:t>②采挖操作(不伤猪苓、保完整)</w:t>
            </w:r>
          </w:p>
          <w:p>
            <w:pPr>
              <w:pStyle w:val="null3"/>
              <w:ind w:firstLine="560"/>
              <w:jc w:val="both"/>
            </w:pPr>
            <w:r>
              <w:rPr>
                <w:rFonts w:ascii="仿宋_GB2312" w:hAnsi="仿宋_GB2312" w:cs="仿宋_GB2312" w:eastAsia="仿宋_GB2312"/>
                <w:sz w:val="28"/>
              </w:rPr>
              <w:t>先清除地表杂草、落叶、覆盖土层，从菌床一端顺层开挖，先掀上层菌棒、填充物，再露猪苓，用小撬棍</w:t>
            </w:r>
            <w:r>
              <w:rPr>
                <w:rFonts w:ascii="仿宋_GB2312" w:hAnsi="仿宋_GB2312" w:cs="仿宋_GB2312" w:eastAsia="仿宋_GB2312"/>
                <w:sz w:val="28"/>
              </w:rPr>
              <w:t>/木铲轻撬轻取，严禁砍、砸、掰，保护猪苓(生长点),顺蜜环菌走向挖，不漏猪苓，分层放菌材，竹筐/竹篓盛装，不挤压、不暴晒、不沾酸碱化肥。</w:t>
            </w:r>
          </w:p>
          <w:p>
            <w:pPr>
              <w:pStyle w:val="null3"/>
              <w:ind w:firstLine="560"/>
              <w:jc w:val="both"/>
            </w:pPr>
            <w:r>
              <w:rPr>
                <w:rFonts w:ascii="仿宋_GB2312" w:hAnsi="仿宋_GB2312" w:cs="仿宋_GB2312" w:eastAsia="仿宋_GB2312"/>
                <w:sz w:val="28"/>
              </w:rPr>
              <w:t>③采后猪苓处理</w:t>
            </w:r>
          </w:p>
          <w:p>
            <w:pPr>
              <w:pStyle w:val="null3"/>
              <w:ind w:firstLine="560"/>
              <w:jc w:val="both"/>
            </w:pPr>
            <w:r>
              <w:rPr>
                <w:rFonts w:ascii="仿宋_GB2312" w:hAnsi="仿宋_GB2312" w:cs="仿宋_GB2312" w:eastAsia="仿宋_GB2312"/>
                <w:sz w:val="28"/>
              </w:rPr>
              <w:t>清水快速洗净泥沙，不削皮、不水泡太久，太阳晾晒或烘干：</w:t>
            </w:r>
            <w:r>
              <w:rPr>
                <w:rFonts w:ascii="仿宋_GB2312" w:hAnsi="仿宋_GB2312" w:cs="仿宋_GB2312" w:eastAsia="仿宋_GB2312"/>
                <w:sz w:val="28"/>
              </w:rPr>
              <w:t>50-70℃低温慢烘，含水量≤15%,烘干包装达到合规中药材售卖，严禁硫磺或其它杀虫剂熏蒸。</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项目绩效管理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生态效益</w:t>
            </w:r>
          </w:p>
          <w:p>
            <w:pPr>
              <w:pStyle w:val="null3"/>
              <w:ind w:firstLine="560"/>
              <w:jc w:val="both"/>
            </w:pPr>
            <w:r>
              <w:rPr>
                <w:rFonts w:ascii="仿宋_GB2312" w:hAnsi="仿宋_GB2312" w:cs="仿宋_GB2312" w:eastAsia="仿宋_GB2312"/>
                <w:sz w:val="28"/>
              </w:rPr>
              <w:t>在林下经济项目建设中本着生态优先的规划理念，合理利用大自然的自然资源，尊重本区生态环境的承受能力，进一步盘活林业资源，加快国有林场现代化建设，使森林资源得到不断保护和增长，带动生态效益的进一步提高。</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社会效益</w:t>
            </w:r>
          </w:p>
          <w:p>
            <w:pPr>
              <w:pStyle w:val="null3"/>
              <w:ind w:firstLine="560"/>
              <w:jc w:val="both"/>
            </w:pPr>
            <w:r>
              <w:rPr>
                <w:rFonts w:ascii="仿宋_GB2312" w:hAnsi="仿宋_GB2312" w:cs="仿宋_GB2312" w:eastAsia="仿宋_GB2312"/>
                <w:sz w:val="28"/>
              </w:rPr>
              <w:t>林下经济是典型的良性循环经济和低碳经济模式，它通过合理利用林地资源，发展高效型、生态型林下经济，带来了较大的经济效益，为</w:t>
            </w:r>
            <w:r>
              <w:rPr>
                <w:rFonts w:ascii="仿宋_GB2312" w:hAnsi="仿宋_GB2312" w:cs="仿宋_GB2312" w:eastAsia="仿宋_GB2312"/>
                <w:sz w:val="28"/>
              </w:rPr>
              <w:t>“绿水青山就是金山银山”的森林保护与林业产业发展探索新模式。通过项目实施，可带动林场周边脱贫户4户4人，劳务务工实现总收益不低于9000元，带动周边群众大力发展林下经济，改善了当地生产生活和经济发展，助力乡村振兴的发展。</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经济效益</w:t>
            </w:r>
          </w:p>
          <w:p>
            <w:pPr>
              <w:pStyle w:val="null3"/>
              <w:ind w:firstLine="560"/>
              <w:jc w:val="both"/>
            </w:pPr>
            <w:r>
              <w:rPr>
                <w:rFonts w:ascii="仿宋_GB2312" w:hAnsi="仿宋_GB2312" w:cs="仿宋_GB2312" w:eastAsia="仿宋_GB2312"/>
                <w:sz w:val="28"/>
              </w:rPr>
              <w:t>项目实施三年后，猪苓采收每窝按</w:t>
            </w:r>
            <w:r>
              <w:rPr>
                <w:rFonts w:ascii="仿宋_GB2312" w:hAnsi="仿宋_GB2312" w:cs="仿宋_GB2312" w:eastAsia="仿宋_GB2312"/>
                <w:sz w:val="28"/>
              </w:rPr>
              <w:t>4斤产出量、每斤按市场成品猪苓25元计算，预计可产生经济价值210余万元。收入上交县财政，可有效盘活国有林场林业资源，助力现代化国有林场建设。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预付款，合同签订后，现场服务人员入场后，达到付款条件起15个工作日内，支付合同总金额的30.0%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进度款，项目种植完成后，达到付款条件起15个工作日内，支付合同总金额的40.0%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商务应答表 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①提供书面声明，未为本项目提供整体设计、规范编制或者项目管理、监理、检测等服务。 ②提供书面声明，本项目不接受联合体磋商。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投标文件是否按招标文件要求签署并逐页盖章。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服务内容及服务要求应答表 标的清单 报价表 业绩相关证明材料.docx 响应函 项目服务实施方案.docx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不得提交选择性报价，报价符合招标文件要求。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响应文件应按照招标文件格式及要求编写，内容齐全无遗漏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服务内容及服务要求应答表 标的清单 报价表 业绩相关证明材料.docx 响应函 项目服务实施方案.docx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总体施工实施方案</w:t>
            </w:r>
          </w:p>
        </w:tc>
        <w:tc>
          <w:tcPr>
            <w:tcW w:type="dxa" w:w="2492"/>
          </w:tcPr>
          <w:p>
            <w:pPr>
              <w:pStyle w:val="null3"/>
            </w:pPr>
            <w:r>
              <w:rPr>
                <w:rFonts w:ascii="仿宋_GB2312" w:hAnsi="仿宋_GB2312" w:cs="仿宋_GB2312" w:eastAsia="仿宋_GB2312"/>
              </w:rPr>
              <w:t>评审内容：供应商须针对本项目211亩（21100窝）林下猪苓仿野生种植编制专属整体方案，需完整包含六大核心模块：①项目总体实施思路、建设目标，贴合林区生态保护与种植产出双重要求；②全周期阶段性供货、施工进度计划，匹配既定建设工期；③作业小班全域统筹、物料运输进场部署方案；④猪苓种、A9蜜环菌、阔叶菌棒供货保障方案；⑤生态保护管控机制（严禁全面整地、禁止垦荒、完工恢复地表原貌）；⑥施工人员组织、现场管理体系。 评审标准：方案内容全面详实、逻辑清晰、完全贴合本项目林区立地工况、符合DB 6017/T 57‑2024技术规范、可落地性极强，得12分。若上述内容存在缺陷，每一处缺陷扣1分，单项扣完为止。 注：缺陷是指投标文件对应内容存在以下情形：未贴合本项目211亩林下猪苓种植实际工况、内容模板化无针对性；缺少核心技术要点、方案简单空洞、无法落地实施；逻辑混乱、存在常识性、技术性错误；夸大表述、虚假承诺、不符合林业及猪苓种植行业技术规程；资料表述与项目实施方案、行业规范相悖。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仿野生栽植工艺专项方案</w:t>
            </w:r>
          </w:p>
        </w:tc>
        <w:tc>
          <w:tcPr>
            <w:tcW w:type="dxa" w:w="2492"/>
          </w:tcPr>
          <w:p>
            <w:pPr>
              <w:pStyle w:val="null3"/>
            </w:pPr>
            <w:r>
              <w:rPr>
                <w:rFonts w:ascii="仿宋_GB2312" w:hAnsi="仿宋_GB2312" w:cs="仿宋_GB2312" w:eastAsia="仿宋_GB2312"/>
              </w:rPr>
              <w:t>评审内容：需结合项目林区坡度、郁闭度、立地条件及实施方案要求，细化落地专项作业内容，包含：①不同地块差异化整地细则（缓坡带状整地、陡坡高郁闭地块穴状整地）；②栽植坑开挖规格、排水防涝标准化作业方案；③分层铺设菌棒、摆放A9蜜环菌、投放灰苓苓种标准化工序；④覆土厚度、龟背造型、表层枯枝落叶覆盖作业细则；⑤各工序现场旁站自检管控措施；⑥栽植后地表原貌恢复作业方案。 评审标准：方案完整覆盖全部关键工序，参数量化清晰，适配本项目地块条件，符合规范，可落地性极强，得12分。若上述内容存在缺陷，每一处缺陷扣1分，单项扣完为止。注：缺陷是指投标文件对应内容存在以下情形：未贴合本项目211亩林下猪苓种植实际工况、内容模板化无针对性；缺少核心技术要点、方案简单空洞、无法落地实施；逻辑混乱、存在常识性、技术性错误；夸大表述、虚假承诺、不符合林业及猪苓种植行业技术规程；关键工序缺失、工艺参数模糊不清、未区分差异化整地方式，视为重大缺项，重大缺项或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质量、安全、环保保障措施</w:t>
            </w:r>
          </w:p>
        </w:tc>
        <w:tc>
          <w:tcPr>
            <w:tcW w:type="dxa" w:w="2492"/>
          </w:tcPr>
          <w:p>
            <w:pPr>
              <w:pStyle w:val="null3"/>
            </w:pPr>
            <w:r>
              <w:rPr>
                <w:rFonts w:ascii="仿宋_GB2312" w:hAnsi="仿宋_GB2312" w:cs="仿宋_GB2312" w:eastAsia="仿宋_GB2312"/>
              </w:rPr>
              <w:t>评审内容：完整包含四大模块：①猪苓种、蜜环菌、菌棒进场抽样检验、工序中间验收、竣工验收全过程质量管控制度；②林区野外作业安全管控方案、人员安全教育机制；③森林防火专项管控措施；④原生植被保护、施工垃圾清运、采伐剩余物规范处置环保方案、不合格栽植窝点返工整改机制。 评审标准：管控措施闭环完整、贴合林区野外作业场景、责任划分清晰，得8分。若上述内容存在缺陷，每一处缺陷扣1分，单项扣完为止。注：缺陷是指投标文件对应内容存在以下情形：未贴合本项目211亩林下猪苓种植实际工况、内容模板化无针对性；缺少核心技术要点、方案简单空洞、无法落地实施；逻辑混乱、存在常识性、技术性错误；夸大表述、虚假承诺、不符合林业及猪苓种植行业技术规程；资料表述与项目实施方案、行业规范相悖。缺少完整管控模块或只有标题没有实质性内容的每项扣3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售后服务及风险应对预案</w:t>
            </w:r>
          </w:p>
        </w:tc>
        <w:tc>
          <w:tcPr>
            <w:tcW w:type="dxa" w:w="2492"/>
          </w:tcPr>
          <w:p>
            <w:pPr>
              <w:pStyle w:val="null3"/>
            </w:pPr>
            <w:r>
              <w:rPr>
                <w:rFonts w:ascii="仿宋_GB2312" w:hAnsi="仿宋_GB2312" w:cs="仿宋_GB2312" w:eastAsia="仿宋_GB2312"/>
              </w:rPr>
              <w:t>评审内容：完整包含五大模块：①供货材料质量缺陷处置、苓种/菌种不合格退换货承诺；②栽植全过程现场技术指导服务方案；③物资长途运输保水防护风险预案；④雨季积水涝害、极端气温影响种植风险处置方案；⑤竣工全套资料整编、影像台账移交保障措施。 评审标准：风险识别全面，处置预案可落地，售后服务权责清晰完整，得8分。若上述内容存在缺陷，每一处缺陷扣1分，单项扣完为止。 注：缺陷是指投标文件对应内容存在以下情形：未贴合本项目211亩林下猪苓种植实际工况、内容模板化无针对性；缺少核心技术要点、方案简单空洞、无法落地实施；逻辑混乱、存在常识性、技术性错误；夸大表述、虚假承诺、不符合林业及猪苓种植行业技术规程；资料表述与项目实施方案、行业规范相悖。缺少风险预案模块、方案空洞无处置措施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履约及售后服务承诺</w:t>
            </w:r>
          </w:p>
        </w:tc>
        <w:tc>
          <w:tcPr>
            <w:tcW w:type="dxa" w:w="2492"/>
          </w:tcPr>
          <w:p>
            <w:pPr>
              <w:pStyle w:val="null3"/>
            </w:pPr>
            <w:r>
              <w:rPr>
                <w:rFonts w:ascii="仿宋_GB2312" w:hAnsi="仿宋_GB2312" w:cs="仿宋_GB2312" w:eastAsia="仿宋_GB2312"/>
              </w:rPr>
              <w:t>1.项目组织履约保障：承诺配置专项项目管理、技术人员，严格执行项目法人制、监理、竣工验收流程，提供书面承诺得5分，无承诺不得分。2.供货及工期履约承诺：承诺猪苓种、蜜环菌、菌棒等物资保质保量按期供货，2026年12月31日前完成全部种植施工，按期完工，书面承诺得5分，无承诺不得分。3.技术售后管护服务：承诺提供项目后期技术跟踪服务，对2027‑2030年生长期提供技术指导，做好病害、鼠害、水害处置技术支持，书面承诺得5分，无承诺不得分。4.质量缺陷售后保障：承诺菌种、苓种出现质量问题无偿更换；栽植质量不达标按要求整改，承担相应处置费用，书面承诺得5分，无承诺不得分。5.绩效指标兜底承诺：承诺保障项目产出、社会效益、经济效益绩效目标落地，配合完成各级绩效核查、项目档案归集，书面承诺得5分，无承诺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项目专属团队配置</w:t>
            </w:r>
          </w:p>
        </w:tc>
        <w:tc>
          <w:tcPr>
            <w:tcW w:type="dxa" w:w="2492"/>
          </w:tcPr>
          <w:p>
            <w:pPr>
              <w:pStyle w:val="null3"/>
            </w:pPr>
            <w:r>
              <w:rPr>
                <w:rFonts w:ascii="仿宋_GB2312" w:hAnsi="仿宋_GB2312" w:cs="仿宋_GB2312" w:eastAsia="仿宋_GB2312"/>
              </w:rPr>
              <w:t>1.拟派项目团队人员须提供相关行业证书，负责现场技术指导，提供1名得3分，此项最高得15分，未提供不得分（需提供人员证书、身份证及驻场承诺书）。2.配备专职售后技术人员，负责猪苓种植后多年生长期技术指导、问题处置，提供1名得2.5分，此项最高得5分，未提供不得分（需提供人员相关行业证书、身份证及后期服务承诺书）。</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供应商2023年1月1日起至今承担的过类似业绩，每提供1项有效业绩材料（提供合同关键页），得2.5分，最高得5分。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满足招标文件要求且报价最低的供应商的价格为投标基准价，其价格分为满分。其他供应商的价格分统一按照下列公式计算：投标报价得分=（投标基准价/投标报价）×价格权值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