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版本号：HCXM-GK-2607-0320260710001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《陕西省省级避难场所（一期）建设项目建议书及可行性研究报告》编制项目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HCXM-GK-2607-03</w:t>
      </w:r>
      <w:r>
        <w:br/>
      </w:r>
      <w:r>
        <w:br/>
      </w:r>
      <w:r>
        <w:br/>
      </w:r>
    </w:p>
    <w:p>
      <w:pPr>
        <w:pStyle w:val="null3"/>
        <w:jc w:val="center"/>
        <w:outlineLvl w:val="2"/>
      </w:pPr>
      <w:r>
        <w:rPr>
          <w:rFonts w:ascii="仿宋_GB2312" w:hAnsi="仿宋_GB2312" w:cs="仿宋_GB2312" w:eastAsia="仿宋_GB2312"/>
          <w:sz w:val="28"/>
          <w:b/>
        </w:rPr>
        <w:t>陕西省应急管理厅</w:t>
      </w:r>
    </w:p>
    <w:p>
      <w:pPr>
        <w:pStyle w:val="null3"/>
        <w:jc w:val="center"/>
        <w:outlineLvl w:val="2"/>
      </w:pPr>
      <w:r>
        <w:rPr>
          <w:rFonts w:ascii="仿宋_GB2312" w:hAnsi="仿宋_GB2312" w:cs="仿宋_GB2312" w:eastAsia="仿宋_GB2312"/>
          <w:sz w:val="28"/>
          <w:b/>
        </w:rPr>
        <w:t>汇成项目管理有限公司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汇成项目管理有限公司</w:t>
      </w:r>
      <w:r>
        <w:rPr>
          <w:rFonts w:ascii="仿宋_GB2312" w:hAnsi="仿宋_GB2312" w:cs="仿宋_GB2312" w:eastAsia="仿宋_GB2312"/>
        </w:rPr>
        <w:t>（以下简称“代理机构”）受</w:t>
      </w:r>
      <w:r>
        <w:rPr>
          <w:rFonts w:ascii="仿宋_GB2312" w:hAnsi="仿宋_GB2312" w:cs="仿宋_GB2312" w:eastAsia="仿宋_GB2312"/>
        </w:rPr>
        <w:t>陕西省应急管理厅</w:t>
      </w:r>
      <w:r>
        <w:rPr>
          <w:rFonts w:ascii="仿宋_GB2312" w:hAnsi="仿宋_GB2312" w:cs="仿宋_GB2312" w:eastAsia="仿宋_GB2312"/>
        </w:rPr>
        <w:t>委托，拟对</w:t>
      </w:r>
      <w:r>
        <w:rPr>
          <w:rFonts w:ascii="仿宋_GB2312" w:hAnsi="仿宋_GB2312" w:cs="仿宋_GB2312" w:eastAsia="仿宋_GB2312"/>
        </w:rPr>
        <w:t>《陕西省省级避难场所（一期）建设项目建议书及可行性研究报告》编制项目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HCXM-GK-2607-03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《陕西省省级避难场所（一期）建设项目建议书及可行性研究报告》编制项目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扎实推进我省省级应急避难场所科学布局、高标准建设，着力构建多层次、全覆盖的应急避难场所体系，全面提升全省应对突发事件的避难保障能力,需重点调研分析西北政法大学（长安校区）、宝鸡国际会展中心、咸阳奥体中心、渭南市体育中心、榆林市会展中心体育中心结合项目以及陕西理工大学（南校区）等6处省级避难场所容纳人口规模、服务覆盖半径、现有设施资源等核心指标，系统梳理可盘活利用的应急避难资源，同时严格对标省级避难场所建设标准实施改造升级，确保其全面符合省级避难场所的规范化要求，通过系统梳理与综合研判，编制形成《陕西省省级避难场所（一期）建设项目建议书》，明确各省级应急避难场所的建设点位、核心建设内容、投资估算等关键信息。通过进一步深化项目建设方案，精准测算总投资额，依规编制《陕西省省级避难场所（一期）建设项目可行性研究报告》及相关成果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1、信用记录查询：供应商未被“信用中国”网站（www.creditchina.gov.cn）列入失信被执行人和重大税收违法失信主体，未被中国政府采购网（www.ccgp.gov.cn）列入政府采购严重违法失信行为记录名单。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2、法定代表人授权书：提供法定代表人授权书（附法定代表人、被授权人身份证复印件），法定代表人直接参加投标，须提供法定代表人身份证明及身份证复印件。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3、企业资质：供应商须通过“全国投资项目在线审批监管平台”登记备案，需在工程咨询单位名录里（含建筑工程专业）。</w:t>
      </w:r>
    </w:p>
    <w:p>
      <w:pPr>
        <w:pStyle w:val="null3"/>
      </w:pPr>
      <w:r>
        <w:rPr>
          <w:rFonts w:ascii="仿宋_GB2312" w:hAnsi="仿宋_GB2312" w:cs="仿宋_GB2312" w:eastAsia="仿宋_GB2312"/>
        </w:rPr>
        <w:t>4、拟派项目负责人要求：具备建筑专业咨询工程师(投资)登记证书并在本单位登记注册。</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陕西省应急管理厅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13359276251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汇成项目管理有限公司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陕西省西安市高新区团结南路西安国际人才大厦A座1508室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17792379649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服务费以中标金额为基数，参考《国家计委关于印发《招标代理服务收费管理暂行办法》的通知》（计价格[2002]1980号）及《国家发展改革委关于降低部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陕西省应急管理厅</w:t>
      </w:r>
      <w:r>
        <w:rPr>
          <w:rFonts w:ascii="仿宋_GB2312" w:hAnsi="仿宋_GB2312" w:cs="仿宋_GB2312" w:eastAsia="仿宋_GB2312"/>
        </w:rPr>
        <w:t>和</w:t>
      </w:r>
      <w:r>
        <w:rPr>
          <w:rFonts w:ascii="仿宋_GB2312" w:hAnsi="仿宋_GB2312" w:cs="仿宋_GB2312" w:eastAsia="仿宋_GB2312"/>
        </w:rPr>
        <w:t>汇成项目管理有限公司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陕西省应急管理厅</w:t>
      </w:r>
      <w:r>
        <w:rPr>
          <w:rFonts w:ascii="仿宋_GB2312" w:hAnsi="仿宋_GB2312" w:cs="仿宋_GB2312" w:eastAsia="仿宋_GB2312"/>
        </w:rPr>
        <w:t>负责解释。除上述招标文件内容，其他内容由</w:t>
      </w:r>
      <w:r>
        <w:rPr>
          <w:rFonts w:ascii="仿宋_GB2312" w:hAnsi="仿宋_GB2312" w:cs="仿宋_GB2312" w:eastAsia="仿宋_GB2312"/>
        </w:rPr>
        <w:t>汇成项目管理有限公司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陕西省应急管理厅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汇成项目管理有限公司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将在采购项⽬实施过程中采⽤自有或者第三方知识成果的，使⽤该知识成果后，投标⼈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关于进一步加强政府采购需求和履约验收管理的指导意见》（财库〔2016〕205号）等政府采购相关法律法规的要求组织验收，验收标准按采购文件规定的服务内容及要求、成交供应商的响应文件及承诺、合同约定标准以及行业规范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联系电话：17792379649</w:t>
      </w:r>
    </w:p>
    <w:p>
      <w:pPr>
        <w:pStyle w:val="null3"/>
      </w:pPr>
      <w:r>
        <w:rPr>
          <w:rFonts w:ascii="仿宋_GB2312" w:hAnsi="仿宋_GB2312" w:cs="仿宋_GB2312" w:eastAsia="仿宋_GB2312"/>
        </w:rPr>
        <w:t>地址：陕西省西安市高新区团结南路西安国际人才大厦A座1508室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扎实推进我省省级应急避难场所科学布局、高标准建设，着力构建多层次、全覆盖的应急避难场所体系，全面提升全省应对突发事件的避难保障能力,需重点调研分析西北政法大学（长安校区）、宝鸡国际会展中心、咸阳奥体中心、渭南市体育中心、榆林市会展中心体育中心结合项目以及陕西理工大学（南校区）等6处省级避难场所容纳人口规模、服务覆盖半径、现有设施资源等核心指标，系统梳理可盘活利用的应急避难资源，同时严格对标省级避难场所建设标准实施改造升级，确保其全面符合省级避难场所的规范化要求，通过系统梳理与综合研判，编制形成《陕西省省级避难场所（一期）建设项目建议书》，明确各省级应急避难场所的建设点位、核心建设内容、投资估算等关键信息。通过进一步深化项目建设方案，精准测算总投资额，依规编制《陕西省省级避难场所（一期）建设项目可行性研究报告》及相关成果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《陕西省省级避难场所（一期）建设项目建议书及可行性研究报告》编制项目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标的名称：《陕西省省级避难场所（一期）建设项目建议书及可行性研究报告》编制项目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2"/>
              <w:jc w:val="left"/>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为扎实推进我省省级应急避难场所科学布局、高标准建设，着力构建多层次、全覆盖的应急避难场所体系，全面提升全省应对突发事件的避难保障能力</w:t>
            </w:r>
            <w:r>
              <w:rPr>
                <w:rFonts w:ascii="仿宋_GB2312" w:hAnsi="仿宋_GB2312" w:cs="仿宋_GB2312" w:eastAsia="仿宋_GB2312"/>
                <w:sz w:val="24"/>
              </w:rPr>
              <w:t>,需重点调研分析</w:t>
            </w:r>
            <w:r>
              <w:rPr>
                <w:rFonts w:ascii="仿宋_GB2312" w:hAnsi="仿宋_GB2312" w:cs="仿宋_GB2312" w:eastAsia="仿宋_GB2312"/>
                <w:sz w:val="24"/>
              </w:rPr>
              <w:t>西北政法大学（长安校区）、宝鸡国际会展中心、咸阳奥体中心、渭南市体育中心、榆林市会展中心体育中心结合项目以及陕西理工大学（南校区）等</w:t>
            </w:r>
            <w:r>
              <w:rPr>
                <w:rFonts w:ascii="仿宋_GB2312" w:hAnsi="仿宋_GB2312" w:cs="仿宋_GB2312" w:eastAsia="仿宋_GB2312"/>
                <w:sz w:val="24"/>
              </w:rPr>
              <w:t>6处省级避难场所容纳人口规模、服务覆盖半径、现有设施资源等核心指标，系统梳理可盘活利用的应急避难资源，同时严格对标省级避难场所建设标准实施改造升级，确保其全面符合省级避难场所的规范化要求，通过系统梳理与综合研判，编制形成《陕西省省级避难场所</w:t>
            </w:r>
            <w:r>
              <w:rPr>
                <w:rFonts w:ascii="仿宋_GB2312" w:hAnsi="仿宋_GB2312" w:cs="仿宋_GB2312" w:eastAsia="仿宋_GB2312"/>
                <w:sz w:val="24"/>
              </w:rPr>
              <w:t>（</w:t>
            </w:r>
            <w:r>
              <w:rPr>
                <w:rFonts w:ascii="仿宋_GB2312" w:hAnsi="仿宋_GB2312" w:cs="仿宋_GB2312" w:eastAsia="仿宋_GB2312"/>
                <w:sz w:val="24"/>
              </w:rPr>
              <w:t>一期</w:t>
            </w:r>
            <w:r>
              <w:rPr>
                <w:rFonts w:ascii="仿宋_GB2312" w:hAnsi="仿宋_GB2312" w:cs="仿宋_GB2312" w:eastAsia="仿宋_GB2312"/>
                <w:sz w:val="24"/>
              </w:rPr>
              <w:t>）</w:t>
            </w:r>
            <w:r>
              <w:rPr>
                <w:rFonts w:ascii="仿宋_GB2312" w:hAnsi="仿宋_GB2312" w:cs="仿宋_GB2312" w:eastAsia="仿宋_GB2312"/>
                <w:sz w:val="24"/>
              </w:rPr>
              <w:t>建设项目建议书》，明确各省级应急避难场所的建设点位、核心建设内容、投资估算等关键信息。通过进一步深化项目建设方案，精准测算总投资额，依规编制《陕西省省级避难场所</w:t>
            </w:r>
            <w:r>
              <w:rPr>
                <w:rFonts w:ascii="仿宋_GB2312" w:hAnsi="仿宋_GB2312" w:cs="仿宋_GB2312" w:eastAsia="仿宋_GB2312"/>
                <w:sz w:val="24"/>
              </w:rPr>
              <w:t>（</w:t>
            </w:r>
            <w:r>
              <w:rPr>
                <w:rFonts w:ascii="仿宋_GB2312" w:hAnsi="仿宋_GB2312" w:cs="仿宋_GB2312" w:eastAsia="仿宋_GB2312"/>
                <w:sz w:val="24"/>
              </w:rPr>
              <w:t>一期</w:t>
            </w:r>
            <w:r>
              <w:rPr>
                <w:rFonts w:ascii="仿宋_GB2312" w:hAnsi="仿宋_GB2312" w:cs="仿宋_GB2312" w:eastAsia="仿宋_GB2312"/>
                <w:sz w:val="24"/>
              </w:rPr>
              <w:t>）</w:t>
            </w:r>
            <w:r>
              <w:rPr>
                <w:rFonts w:ascii="仿宋_GB2312" w:hAnsi="仿宋_GB2312" w:cs="仿宋_GB2312" w:eastAsia="仿宋_GB2312"/>
                <w:sz w:val="24"/>
              </w:rPr>
              <w:t>建设项目可行性研究报告》及相关成果文件。</w:t>
            </w:r>
          </w:p>
          <w:p>
            <w:pPr>
              <w:pStyle w:val="null3"/>
              <w:ind w:firstLine="482"/>
              <w:jc w:val="left"/>
            </w:pPr>
            <w:r>
              <w:rPr>
                <w:rFonts w:ascii="仿宋_GB2312" w:hAnsi="仿宋_GB2312" w:cs="仿宋_GB2312" w:eastAsia="仿宋_GB2312"/>
                <w:sz w:val="24"/>
                <w:b/>
              </w:rPr>
              <w:t>二、服务内容</w:t>
            </w:r>
          </w:p>
          <w:p>
            <w:pPr>
              <w:pStyle w:val="null3"/>
              <w:numPr>
                <w:ilvl w:val="0"/>
                <w:numId w:val="1"/>
              </w:numPr>
              <w:jc w:val="left"/>
            </w:pPr>
            <w:r>
              <w:rPr>
                <w:rFonts w:ascii="仿宋_GB2312" w:hAnsi="仿宋_GB2312" w:cs="仿宋_GB2312" w:eastAsia="仿宋_GB2312"/>
                <w:sz w:val="24"/>
              </w:rPr>
              <w:t>全面开展实地调研与现状梳理，为报告编制筑牢基础</w:t>
            </w:r>
          </w:p>
          <w:p>
            <w:pPr>
              <w:pStyle w:val="null3"/>
              <w:ind w:firstLine="480"/>
              <w:jc w:val="left"/>
            </w:pPr>
            <w:r>
              <w:rPr>
                <w:rFonts w:ascii="仿宋_GB2312" w:hAnsi="仿宋_GB2312" w:cs="仿宋_GB2312" w:eastAsia="仿宋_GB2312"/>
                <w:sz w:val="24"/>
              </w:rPr>
              <w:t>组建专项调研团队，覆盖所有省级避难场所，通过现场踏勘、数据核查、座谈访谈等方式，系统摸清现有场所的分布格局、建设年代、建筑结构、抗震等级及配套设施配置情况，重点核查供水供电、通讯保障、医疗救护、卫生防疫等核心功能设施的运行状态。同步对接应急管理、住建、财政、自然资源等部门及属地街道、社区，收集场所日常管护、过往应急使用案例、区域灾害风险等级、人口分布及流动规律等基础数据，梳理当前场所存在的设施短板、功能缺陷、合规性问题及改造需求，形成完整的调研数据集与现状分析报告，为后续工作提供精准依据。</w:t>
            </w:r>
          </w:p>
          <w:p>
            <w:pPr>
              <w:pStyle w:val="null3"/>
              <w:numPr>
                <w:ilvl w:val="0"/>
                <w:numId w:val="1"/>
              </w:numPr>
              <w:jc w:val="left"/>
            </w:pPr>
            <w:r>
              <w:rPr>
                <w:rFonts w:ascii="仿宋_GB2312" w:hAnsi="仿宋_GB2312" w:cs="仿宋_GB2312" w:eastAsia="仿宋_GB2312"/>
                <w:sz w:val="24"/>
              </w:rPr>
              <w:t>深化需求分析与合规性论证，明确项目核心定位与建设方向</w:t>
            </w:r>
          </w:p>
          <w:p>
            <w:pPr>
              <w:pStyle w:val="null3"/>
              <w:ind w:firstLine="480"/>
              <w:jc w:val="left"/>
            </w:pPr>
            <w:r>
              <w:rPr>
                <w:rFonts w:ascii="仿宋_GB2312" w:hAnsi="仿宋_GB2312" w:cs="仿宋_GB2312" w:eastAsia="仿宋_GB2312"/>
                <w:sz w:val="24"/>
              </w:rPr>
              <w:t>基于实地调研成果，结合《专项规划》《建设工程抗震管理条例》等国家及省级政策标准，开展多维度需求分析。从灾害防控需求出发，结合陕西地震、洪涝等灾害发生规律，测算区域应急安置承载力缺口；从民生保障需求出发，聚焦老旧场所升级、乡村地区覆盖等薄弱环节，明确功能完善优先级；从政策合规需求出发，对标最新抗震设防、应急保障等强制性标准，排查现有场所合规隐患。通过综合论证，确立项目建设的核心目标、服务范围、功能定位，划定改造重点区域与关键设施，为方案设计提供清晰指引。</w:t>
            </w:r>
          </w:p>
          <w:p>
            <w:pPr>
              <w:pStyle w:val="null3"/>
              <w:numPr>
                <w:ilvl w:val="0"/>
                <w:numId w:val="1"/>
              </w:numPr>
              <w:jc w:val="left"/>
            </w:pPr>
            <w:r>
              <w:rPr>
                <w:rFonts w:ascii="仿宋_GB2312" w:hAnsi="仿宋_GB2312" w:cs="仿宋_GB2312" w:eastAsia="仿宋_GB2312"/>
                <w:sz w:val="24"/>
              </w:rPr>
              <w:t>科学开展方案设计与技术论证，形成可行的建设实施路径</w:t>
            </w:r>
          </w:p>
          <w:p>
            <w:pPr>
              <w:pStyle w:val="null3"/>
              <w:ind w:firstLine="480"/>
              <w:jc w:val="left"/>
            </w:pPr>
            <w:r>
              <w:rPr>
                <w:rFonts w:ascii="仿宋_GB2312" w:hAnsi="仿宋_GB2312" w:cs="仿宋_GB2312" w:eastAsia="仿宋_GB2312"/>
                <w:sz w:val="24"/>
              </w:rPr>
              <w:t>围绕需求分析结论，设计多套建设方案并进行比选优化，明确各方案的建设范围、技术路线、功能布局及建设内容，重点涵盖抗震加固、设施升级、标识完善、布局优化等核心工程，同步配套设计供水、供电、通讯、排污等附属设施建设方案。针对方案的技术可行性，联合建筑、结构、应急保障等领域专家，论证抗震加固工艺、新材料应用、功能分区合理性等关键要点，确保方案符合</w:t>
            </w:r>
            <w:r>
              <w:rPr>
                <w:rFonts w:ascii="仿宋_GB2312" w:hAnsi="仿宋_GB2312" w:cs="仿宋_GB2312" w:eastAsia="仿宋_GB2312"/>
                <w:sz w:val="24"/>
              </w:rPr>
              <w:t>“全灾种、大应急”要求。同时，开展投资估算与资金筹措分析，精准测算项目总投资，明确财政专项投入、地方配套等资金来源，论证资金使用的合理性与可持续性。</w:t>
            </w:r>
          </w:p>
          <w:p>
            <w:pPr>
              <w:pStyle w:val="null3"/>
              <w:numPr>
                <w:ilvl w:val="0"/>
                <w:numId w:val="1"/>
              </w:numPr>
              <w:jc w:val="left"/>
            </w:pPr>
            <w:r>
              <w:rPr>
                <w:rFonts w:ascii="仿宋_GB2312" w:hAnsi="仿宋_GB2312" w:cs="仿宋_GB2312" w:eastAsia="仿宋_GB2312"/>
                <w:sz w:val="24"/>
              </w:rPr>
              <w:t>细化实施安排与风险管控，保障项目有序推进</w:t>
            </w:r>
          </w:p>
          <w:p>
            <w:pPr>
              <w:pStyle w:val="null3"/>
              <w:ind w:firstLine="480"/>
              <w:jc w:val="left"/>
            </w:pPr>
            <w:r>
              <w:rPr>
                <w:rFonts w:ascii="仿宋_GB2312" w:hAnsi="仿宋_GB2312" w:cs="仿宋_GB2312" w:eastAsia="仿宋_GB2312"/>
                <w:sz w:val="24"/>
              </w:rPr>
              <w:t>制定分阶段项目实施计划，明确前期筹备、工程施工、竣工验收、投入使用等各环节的时间节点、工作任务及责任主体，统筹协调设计、施工、监理等单位分工，衔接各部门审批流程，确保项目高效落地。同步开展风险评估，识别工程建设、资金使用、技术应用、后期管护等环节可能存在的风险点，制定针对性防控措施与应急预案。此外，在报告中明确项目后期管护机制，包括管护责任分工、设施维护流程、经费保障渠道等，结合效益分析论证项目实施对提升区域应急保障能力、完善防灾减灾体系的综合价值，为项目决策与落地实施提供全面支撑。</w:t>
            </w:r>
          </w:p>
          <w:p>
            <w:pPr>
              <w:pStyle w:val="null3"/>
              <w:ind w:firstLine="482"/>
              <w:jc w:val="left"/>
            </w:pPr>
            <w:r>
              <w:rPr>
                <w:rFonts w:ascii="仿宋_GB2312" w:hAnsi="仿宋_GB2312" w:cs="仿宋_GB2312" w:eastAsia="仿宋_GB2312"/>
                <w:sz w:val="24"/>
                <w:b/>
              </w:rPr>
              <w:t>三、成果咨询及审批</w:t>
            </w:r>
          </w:p>
          <w:p>
            <w:pPr>
              <w:pStyle w:val="null3"/>
              <w:ind w:firstLine="480"/>
              <w:jc w:val="left"/>
            </w:pPr>
            <w:r>
              <w:rPr>
                <w:rFonts w:ascii="仿宋_GB2312" w:hAnsi="仿宋_GB2312" w:cs="仿宋_GB2312" w:eastAsia="仿宋_GB2312"/>
                <w:sz w:val="24"/>
              </w:rPr>
              <w:t>项目建议书及可研报告初稿完成后，组织编制单位并邀请应急管理、规划、住建、设计、工程建设、场所管护使用等方面的专家组成专家组，对可研进行评审和论证，并按照咨询意见修改完善。项目通过评审论证后，依相关程序报批。</w:t>
            </w:r>
          </w:p>
          <w:p>
            <w:pPr>
              <w:pStyle w:val="null3"/>
              <w:ind w:firstLine="482"/>
              <w:jc w:val="left"/>
            </w:pPr>
            <w:r>
              <w:rPr>
                <w:rFonts w:ascii="仿宋_GB2312" w:hAnsi="仿宋_GB2312" w:cs="仿宋_GB2312" w:eastAsia="仿宋_GB2312"/>
                <w:sz w:val="24"/>
                <w:b/>
              </w:rPr>
              <w:t>四、</w:t>
            </w:r>
            <w:r>
              <w:rPr>
                <w:rFonts w:ascii="仿宋_GB2312" w:hAnsi="仿宋_GB2312" w:cs="仿宋_GB2312" w:eastAsia="仿宋_GB2312"/>
                <w:sz w:val="24"/>
                <w:b/>
              </w:rPr>
              <w:t>成果要求</w:t>
            </w:r>
          </w:p>
          <w:p>
            <w:pPr>
              <w:pStyle w:val="null3"/>
              <w:numPr>
                <w:ilvl w:val="0"/>
                <w:numId w:val="1"/>
              </w:numPr>
              <w:jc w:val="left"/>
            </w:pPr>
            <w:r>
              <w:rPr>
                <w:rFonts w:ascii="仿宋_GB2312" w:hAnsi="仿宋_GB2312" w:cs="仿宋_GB2312" w:eastAsia="仿宋_GB2312"/>
                <w:sz w:val="24"/>
              </w:rPr>
              <w:t>数量：项目建议书</w:t>
            </w:r>
            <w:r>
              <w:rPr>
                <w:rFonts w:ascii="仿宋_GB2312" w:hAnsi="仿宋_GB2312" w:cs="仿宋_GB2312" w:eastAsia="仿宋_GB2312"/>
                <w:sz w:val="24"/>
              </w:rPr>
              <w:t>和可行性研究报告</w:t>
            </w:r>
            <w:r>
              <w:rPr>
                <w:rFonts w:ascii="仿宋_GB2312" w:hAnsi="仿宋_GB2312" w:cs="仿宋_GB2312" w:eastAsia="仿宋_GB2312"/>
                <w:sz w:val="24"/>
              </w:rPr>
              <w:t>纸质版各</w:t>
            </w:r>
            <w:r>
              <w:rPr>
                <w:rFonts w:ascii="仿宋_GB2312" w:hAnsi="仿宋_GB2312" w:cs="仿宋_GB2312" w:eastAsia="仿宋_GB2312"/>
                <w:sz w:val="24"/>
              </w:rPr>
              <w:t>3 套；电子版各1套。</w:t>
            </w:r>
          </w:p>
          <w:p>
            <w:pPr>
              <w:pStyle w:val="null3"/>
              <w:numPr>
                <w:ilvl w:val="0"/>
                <w:numId w:val="1"/>
              </w:numPr>
              <w:jc w:val="left"/>
            </w:pPr>
            <w:r>
              <w:rPr>
                <w:rFonts w:ascii="仿宋_GB2312" w:hAnsi="仿宋_GB2312" w:cs="仿宋_GB2312" w:eastAsia="仿宋_GB2312"/>
                <w:sz w:val="24"/>
              </w:rPr>
              <w:t>纸质版要求提交报告最终成果；电子版应保持原有文件格式</w:t>
            </w:r>
            <w:r>
              <w:rPr>
                <w:rFonts w:ascii="仿宋_GB2312" w:hAnsi="仿宋_GB2312" w:cs="仿宋_GB2312" w:eastAsia="仿宋_GB2312"/>
                <w:sz w:val="24"/>
              </w:rPr>
              <w:t>。</w:t>
            </w:r>
            <w:r>
              <w:rPr>
                <w:rFonts w:ascii="仿宋_GB2312" w:hAnsi="仿宋_GB2312" w:cs="仿宋_GB2312" w:eastAsia="仿宋_GB2312"/>
                <w:sz w:val="24"/>
              </w:rPr>
              <w:t>（文字部分</w:t>
            </w:r>
            <w:r>
              <w:rPr>
                <w:rFonts w:ascii="仿宋_GB2312" w:hAnsi="仿宋_GB2312" w:cs="仿宋_GB2312" w:eastAsia="仿宋_GB2312"/>
                <w:sz w:val="24"/>
              </w:rPr>
              <w:t>.docx 格式，图纸 CAD 格式，电子表格保留原有链接等）。</w:t>
            </w:r>
          </w:p>
          <w:p>
            <w:pPr>
              <w:pStyle w:val="null3"/>
              <w:ind w:firstLine="482"/>
              <w:jc w:val="left"/>
            </w:pPr>
            <w:r>
              <w:rPr>
                <w:rFonts w:ascii="仿宋_GB2312" w:hAnsi="仿宋_GB2312" w:cs="仿宋_GB2312" w:eastAsia="仿宋_GB2312"/>
                <w:sz w:val="24"/>
                <w:b/>
              </w:rPr>
              <w:t>五</w:t>
            </w:r>
            <w:r>
              <w:rPr>
                <w:rFonts w:ascii="仿宋_GB2312" w:hAnsi="仿宋_GB2312" w:cs="仿宋_GB2312" w:eastAsia="仿宋_GB2312"/>
                <w:sz w:val="24"/>
                <w:b/>
              </w:rPr>
              <w:t>、商务要求</w:t>
            </w:r>
          </w:p>
          <w:p>
            <w:pPr>
              <w:pStyle w:val="null3"/>
              <w:numPr>
                <w:ilvl w:val="0"/>
                <w:numId w:val="1"/>
              </w:numPr>
              <w:jc w:val="left"/>
            </w:pPr>
            <w:r>
              <w:rPr>
                <w:rFonts w:ascii="仿宋_GB2312" w:hAnsi="仿宋_GB2312" w:cs="仿宋_GB2312" w:eastAsia="仿宋_GB2312"/>
                <w:sz w:val="24"/>
              </w:rPr>
              <w:t>服务期限：自合同签订之日起至</w:t>
            </w:r>
            <w:r>
              <w:rPr>
                <w:rFonts w:ascii="仿宋_GB2312" w:hAnsi="仿宋_GB2312" w:cs="仿宋_GB2312" w:eastAsia="仿宋_GB2312"/>
                <w:sz w:val="24"/>
              </w:rPr>
              <w:t>2026年12月15日完成本项目报告编制，并通过省发改委评审中心出具评审报告。</w:t>
            </w:r>
          </w:p>
          <w:p>
            <w:pPr>
              <w:pStyle w:val="null3"/>
              <w:numPr>
                <w:ilvl w:val="0"/>
                <w:numId w:val="1"/>
              </w:numPr>
              <w:jc w:val="left"/>
            </w:pPr>
            <w:r>
              <w:rPr>
                <w:rFonts w:ascii="仿宋_GB2312" w:hAnsi="仿宋_GB2312" w:cs="仿宋_GB2312" w:eastAsia="仿宋_GB2312"/>
                <w:sz w:val="24"/>
              </w:rPr>
              <w:t>服务地点：采购人指定地点。</w:t>
            </w:r>
          </w:p>
          <w:p>
            <w:pPr>
              <w:pStyle w:val="null3"/>
              <w:numPr>
                <w:ilvl w:val="0"/>
                <w:numId w:val="1"/>
              </w:numPr>
              <w:jc w:val="left"/>
            </w:pPr>
            <w:r>
              <w:rPr>
                <w:rFonts w:ascii="仿宋_GB2312" w:hAnsi="仿宋_GB2312" w:cs="仿宋_GB2312" w:eastAsia="仿宋_GB2312"/>
                <w:sz w:val="24"/>
              </w:rPr>
              <w:t>付款方式：</w:t>
            </w:r>
            <w:r>
              <w:rPr>
                <w:rFonts w:ascii="仿宋_GB2312" w:hAnsi="仿宋_GB2312" w:cs="仿宋_GB2312" w:eastAsia="仿宋_GB2312"/>
                <w:sz w:val="24"/>
              </w:rPr>
              <w:t>本项目按进度付款。自合同签订之日起，达到付款条件起</w:t>
            </w:r>
            <w:r>
              <w:rPr>
                <w:rFonts w:ascii="仿宋_GB2312" w:hAnsi="仿宋_GB2312" w:cs="仿宋_GB2312" w:eastAsia="仿宋_GB2312"/>
                <w:sz w:val="24"/>
              </w:rPr>
              <w:t>10个工作日内，支付合同总金额的70.0%；报告编制完成并通过采购人验收合格后，达到付款条件起10个工作日内，支付合同总金额的30.0%。</w:t>
            </w:r>
          </w:p>
          <w:p>
            <w:pPr>
              <w:pStyle w:val="null3"/>
              <w:numPr>
                <w:ilvl w:val="0"/>
                <w:numId w:val="1"/>
              </w:numPr>
              <w:jc w:val="left"/>
            </w:pPr>
            <w:r>
              <w:rPr>
                <w:rFonts w:ascii="仿宋_GB2312" w:hAnsi="仿宋_GB2312" w:cs="仿宋_GB2312" w:eastAsia="仿宋_GB2312"/>
                <w:sz w:val="24"/>
              </w:rPr>
              <w:t>所有款项均以银行转账方式支付，每次甲方付款前乙方提供对应数额的税务发票。</w:t>
            </w:r>
          </w:p>
          <w:p>
            <w:pPr>
              <w:pStyle w:val="null3"/>
              <w:ind w:firstLine="482"/>
              <w:jc w:val="left"/>
            </w:pPr>
            <w:r>
              <w:rPr>
                <w:rFonts w:ascii="仿宋_GB2312" w:hAnsi="仿宋_GB2312" w:cs="仿宋_GB2312" w:eastAsia="仿宋_GB2312"/>
                <w:sz w:val="24"/>
                <w:b/>
              </w:rPr>
              <w:t>六</w:t>
            </w:r>
            <w:r>
              <w:rPr>
                <w:rFonts w:ascii="仿宋_GB2312" w:hAnsi="仿宋_GB2312" w:cs="仿宋_GB2312" w:eastAsia="仿宋_GB2312"/>
                <w:sz w:val="24"/>
                <w:b/>
              </w:rPr>
              <w:t>、其他要求</w:t>
            </w:r>
          </w:p>
          <w:p>
            <w:pPr>
              <w:pStyle w:val="null3"/>
              <w:numPr>
                <w:ilvl w:val="0"/>
                <w:numId w:val="1"/>
              </w:numPr>
              <w:jc w:val="left"/>
            </w:pPr>
            <w:r>
              <w:rPr>
                <w:rFonts w:ascii="仿宋_GB2312" w:hAnsi="仿宋_GB2312" w:cs="仿宋_GB2312" w:eastAsia="仿宋_GB2312"/>
                <w:sz w:val="24"/>
              </w:rPr>
              <w:t>供应商应保证所提供的服务或其任何一部分均不会侵犯任何第三方的专利权、商标权或著作权。</w:t>
            </w:r>
          </w:p>
          <w:p>
            <w:pPr>
              <w:pStyle w:val="null3"/>
              <w:numPr>
                <w:ilvl w:val="0"/>
                <w:numId w:val="1"/>
              </w:numPr>
              <w:jc w:val="left"/>
            </w:pPr>
            <w:r>
              <w:rPr>
                <w:rFonts w:ascii="仿宋_GB2312" w:hAnsi="仿宋_GB2312" w:cs="仿宋_GB2312" w:eastAsia="仿宋_GB2312"/>
                <w:sz w:val="24"/>
              </w:rPr>
              <w:t>报价要求：（</w:t>
            </w:r>
            <w:r>
              <w:rPr>
                <w:rFonts w:ascii="仿宋_GB2312" w:hAnsi="仿宋_GB2312" w:cs="仿宋_GB2312" w:eastAsia="仿宋_GB2312"/>
                <w:sz w:val="24"/>
              </w:rPr>
              <w:t>1）成交供应商在项目实施期间，若上级主管部门对本项目的完成时间、工作内容和技术要求有调整和变化的，供应商应无条件按照新要求执行，满足采购人和上级主管部门对本项目的部署与要求，所需一切费用包含在本次磋商报价中。（2）项目总报价应当包括完成本项目可能发生的各项费用的总和，为包干费用，如人工费、成果编制费、仪器设备使用费、资料费、项目成果评审费、差旅费、保险费、管理费、税金等一切费用的体现，采购文件未列明而供应商认为其他必需的费用也须列入报价内。采购人不再另行支付成交金额以外的其他任何费用。</w:t>
            </w:r>
          </w:p>
          <w:p>
            <w:pPr>
              <w:pStyle w:val="null3"/>
              <w:numPr>
                <w:ilvl w:val="0"/>
                <w:numId w:val="1"/>
              </w:numPr>
              <w:jc w:val="left"/>
            </w:pPr>
            <w:r>
              <w:rPr>
                <w:rFonts w:ascii="仿宋_GB2312" w:hAnsi="仿宋_GB2312" w:cs="仿宋_GB2312" w:eastAsia="仿宋_GB2312"/>
                <w:sz w:val="24"/>
              </w:rPr>
              <w:t>违约责任：（</w:t>
            </w:r>
            <w:r>
              <w:rPr>
                <w:rFonts w:ascii="仿宋_GB2312" w:hAnsi="仿宋_GB2312" w:cs="仿宋_GB2312" w:eastAsia="仿宋_GB2312"/>
                <w:sz w:val="24"/>
              </w:rPr>
              <w:t>1）供应商和采购人必须遵守本合同并执行合同中的各项规定，保证本合同的正常履行。（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w:t>
            </w:r>
          </w:p>
          <w:p>
            <w:pPr>
              <w:pStyle w:val="null3"/>
              <w:numPr>
                <w:ilvl w:val="0"/>
                <w:numId w:val="1"/>
              </w:numPr>
              <w:jc w:val="left"/>
            </w:pPr>
            <w:r>
              <w:rPr>
                <w:rFonts w:ascii="仿宋_GB2312" w:hAnsi="仿宋_GB2312" w:cs="仿宋_GB2312" w:eastAsia="仿宋_GB2312"/>
                <w:sz w:val="24"/>
              </w:rPr>
              <w:t>解决争议的方法：（</w:t>
            </w:r>
            <w:r>
              <w:rPr>
                <w:rFonts w:ascii="仿宋_GB2312" w:hAnsi="仿宋_GB2312" w:cs="仿宋_GB2312" w:eastAsia="仿宋_GB2312"/>
                <w:sz w:val="24"/>
              </w:rPr>
              <w:t>1）在执行本合同中发生的或与本合同有关的争端，双方应通过友好协商解决，经协商不能达成协议时，应提交采购人所在地人民法院诉讼解决。（2）在诉讼期间，乙方不得停止服务，并应保证政府采购合同的继续履行执行。</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针对本项目有明确的团队人员，投标文件应列明项目负责人、技术负责人等，分工明确，确保项目按期完成，人员要求详见评审细则及标准。</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具有履行合同所必需的设施设备，满足项目需求。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1）服务范围：陕西省省级避难场所（一期）建设项目建议书及可行性研究报告编制； 2）服务要求：满足采购技术要求； 3）服务标准：满足国家及行业相关技术规范要求。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自合同签订之日起至2026年12月15日完成本项目报告编制，并通过省发改委评审中心出具评审报告。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1、最终成果提交后， 中标人向采购人提交验收申请。2、采购人收到验收申请后组织验收，验收时中标人应无条件予以配合并提供验收所需的全部资料，若中标人不配合或者未按合同要求提供服务的，采购人将拒绝验收。 3、验收依据：招标文件、投标文件、合同文本、国内相应的标准、规范。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进度款，自合同签订之日起，达到付款条件起10个工作日内，支付合同总金额的70.0%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进度款，报告编制完成并通过采购人验收合格后，达到付款条件起10个工作日内，支付合同总金额的30.0%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供应商和采购人必须遵守本合同并执行合同中的各项规定，保证本合同的正常履行。（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 解决争议的方法：（1）在执行本合同中发生的或与本合同有关的争端，双方应通过友好协商解决，经协商不能达成协议时，应提交采购人所在地人民法院诉讼解决。（2）在诉讼期间，乙方不得停止服务，并应保证政府采购合同的继续履行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1、成交单位在领取中标通知书时应提供加盖公章及签字的纸质响应文件正本一份，副本两份。若电子响应文件与纸质响应文件不一致的，以电子响应文件为准。纸质响应文件可顺丰邮寄。 2、恶意质疑、投诉的法律后果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3、签名是指手写签名或者加盖姓名章(含电子签名或电子印章)，盖章是指加盖单位印章。 4、分公司独立参与投标时，不能使用总公司的资质或业绩；总公司单独参与投标时，除总公司所投产品为分公司生产的产品外，不能使用分公司的资质或业绩。总公司授权分公司或分支机构参与投标，可以使用总公司的资质或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1．法人或者其他组织的有效营业执照等证明文件。其中： ①供应商是企业（包括合伙企业）的，应提供其在市场监督管理部门注册的有效 “营业执照”复印件； ②供应商是事业单位的，应提供其有效的“事业单位法人证书”复印件； ③供应商是自然人的，应提供其有效的自然人身份证明复印件。 2．税收缴纳证明：投标人须提供投标截止时间前1年内连续3个月的依法缴纳税收的相关凭据（时间以税款所属日期为准、税种须至少包含增值税或企业所得税）；依法免税的供应商，应提供相应文件证明其依法免税。 3．社会保障资金缴纳证明：投标人须提供投标截止时间前1年内连续3个月的社会保障资金缴存单据或社保机构开具的社会保险参保缴费情况证明，单据或证明上应有社保机构或代收机构的公章或业务专用章；依法不需要缴纳社会保障资金的供应商，应提供相应文件说明其依法不需要缴纳的证明材料复印件。 4．提供具有履行本合同所必需的设备和专业技术能力的说明及承诺书。 5．参加政府采购活动前3年内，在经营活动中没有重大违法记录的书面声明。 注：①按照《中华人民共和国政府采购法》有关规定，采购代理机构依法对投标人的资格进行审查，并组建资格审查小组。 ②资格审查小组，由1名采购人代表和2名采购代理机构工作人员3人组成，采购代理机构项目经理担任资格审查小组组长。 ③资格审查小组成立后，全体小组成员应当在签到表中签到。</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财务状况报告：提供①或者②； ①提供2025年度经审计的财务报告，应满足以下要求： 1)供应商是企业的，财务报告是指经会计师事务所审计的上述指定年度整个会计年度财务报表（须提供会计师事务所出具的审计报告复印件）,复印件至少须包括审计意见正文、资产负债表、利润表（或损益表）、现金流量表）和会计师事务所营业执照，报告正文应当有会计师事务所公章和2名注册会计师的签字及盖章，且2022年10月1日后出具的审计报告应当经过注册会计师行业统一监管平台备案赋码。 2)供应商适用《事业单位会计准则》的，财务报告是指上述指定年度整个会计年度财务报表（不要求必须是经审计的），复印件至少须包括资产负债表、收入支出表（或收入费用表）、财政补助收入支出表。 3)供应商适用《政府会计准则》的，财务报告是指上述指定年度整个会计年度财务报表（不要求必须是经审计的），复印件至少须包括资产负债表、收入费用表。 4)供应商适用《民间非营利组织会计制度》的，财务报告是指上述指定年度整个会计年度财务报表（不要求必须是经审计的），复印件至少须包括资产负债表、业务活动表、现金流量表。 5)供应商是上述四种情况以外情况的，按照其依法适用的会计制度、财务规则或会计准则提供财务报表复印件（不要求必须是经审计的）。 ②提供资信证明的，应满足以下要求： 1)资信证明须为首次响应文件递交截止之日前三个月内由供应商开户银行出具。（附《基本存款账户信息》或《银行开户许可证》复印件） 2)无论开具银行是否标明“复印无效”，供应商提供的复印件在本次项目中予以认可（即不因“复印无效”字样而认定资信证明复印件无效）。银行出具的存款证明不能替代银行资信证明。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供应商须通过“全国投资项目在线审批监管平台”登记备案，需在工程咨询单位名录里（含建筑工程专业）。</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具备建筑专业咨询工程师(投资)登记证书并在本单位登记注册。</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 供应商名称与营业执照不一致（不合格）</w:t>
            </w:r>
          </w:p>
        </w:tc>
        <w:tc>
          <w:tcPr>
            <w:tcW w:type="dxa" w:w="1661"/>
          </w:tcPr>
          <w:p>
            <w:pPr>
              <w:pStyle w:val="null3"/>
            </w:pPr>
            <w:r>
              <w:rPr>
                <w:rFonts w:ascii="仿宋_GB2312" w:hAnsi="仿宋_GB2312" w:cs="仿宋_GB2312" w:eastAsia="仿宋_GB2312"/>
              </w:rPr>
              <w:t>开标一览表 投标人应提交的相关资格证明材料.docx 投标函 中小企业声明函 残疾人福利性单位声明函 商务应答表 标的清单 服务内容及服务要求应答表 投标文件封面 服务方案.docx 陕西省政府采购投标人拒绝政府采购领域商业贿赂承诺书及投标人认为有必要提供的其它资料.docx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响应文件按采购文件要求的数量、计量单位、报价货币及签字盖章</w:t>
            </w:r>
          </w:p>
        </w:tc>
        <w:tc>
          <w:tcPr>
            <w:tcW w:type="dxa" w:w="3322"/>
          </w:tcPr>
          <w:p>
            <w:pPr>
              <w:pStyle w:val="null3"/>
            </w:pPr>
            <w:r>
              <w:rPr>
                <w:rFonts w:ascii="仿宋_GB2312" w:hAnsi="仿宋_GB2312" w:cs="仿宋_GB2312" w:eastAsia="仿宋_GB2312"/>
              </w:rPr>
              <w:t>响应文件按采购文件要求的数量、计量单位、报价货币及签字盖章（合格） 响应文件未按采购文件要求的数量、计量单位、报价货币及签字盖章（不合格）</w:t>
            </w:r>
          </w:p>
        </w:tc>
        <w:tc>
          <w:tcPr>
            <w:tcW w:type="dxa" w:w="1661"/>
          </w:tcPr>
          <w:p>
            <w:pPr>
              <w:pStyle w:val="null3"/>
            </w:pPr>
            <w:r>
              <w:rPr>
                <w:rFonts w:ascii="仿宋_GB2312" w:hAnsi="仿宋_GB2312" w:cs="仿宋_GB2312" w:eastAsia="仿宋_GB2312"/>
              </w:rPr>
              <w:t>开标一览表 投标人应提交的相关资格证明材料.docx 投标函 中小企业声明函 残疾人福利性单位声明函 商务应答表 标的清单 服务内容及服务要求应答表 投标文件封面 服务方案.docx 监狱企业的证明文件 陕西省政府采购投标人拒绝政府采购领域商业贿赂承诺书及投标人认为有必要提供的其它资料.docx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响应有效期满足采购文件要求</w:t>
            </w:r>
          </w:p>
        </w:tc>
        <w:tc>
          <w:tcPr>
            <w:tcW w:type="dxa" w:w="3322"/>
          </w:tcPr>
          <w:p>
            <w:pPr>
              <w:pStyle w:val="null3"/>
            </w:pPr>
            <w:r>
              <w:rPr>
                <w:rFonts w:ascii="仿宋_GB2312" w:hAnsi="仿宋_GB2312" w:cs="仿宋_GB2312" w:eastAsia="仿宋_GB2312"/>
              </w:rPr>
              <w:t>响应有效期满足采购文件要求（合格） 响应有效期不满足采购文件要求（不合格）</w:t>
            </w:r>
          </w:p>
        </w:tc>
        <w:tc>
          <w:tcPr>
            <w:tcW w:type="dxa" w:w="1661"/>
          </w:tcPr>
          <w:p>
            <w:pPr>
              <w:pStyle w:val="null3"/>
            </w:pPr>
            <w:r>
              <w:rPr>
                <w:rFonts w:ascii="仿宋_GB2312" w:hAnsi="仿宋_GB2312" w:cs="仿宋_GB2312" w:eastAsia="仿宋_GB2312"/>
              </w:rPr>
              <w:t>开标一览表 投标人应提交的相关资格证明材料.docx 投标函 中小企业声明函 残疾人福利性单位声明函 商务应答表 标的清单 服务内容及服务要求应答表 投标文件封面 服务方案.docx 监狱企业的证明文件 陕西省政府采购投标人拒绝政府采购领域商业贿赂承诺书及投标人认为有必要提供的其它资料.docx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商务响应满足实质性要求</w:t>
            </w:r>
          </w:p>
        </w:tc>
        <w:tc>
          <w:tcPr>
            <w:tcW w:type="dxa" w:w="3322"/>
          </w:tcPr>
          <w:p>
            <w:pPr>
              <w:pStyle w:val="null3"/>
            </w:pPr>
            <w:r>
              <w:rPr>
                <w:rFonts w:ascii="仿宋_GB2312" w:hAnsi="仿宋_GB2312" w:cs="仿宋_GB2312" w:eastAsia="仿宋_GB2312"/>
              </w:rPr>
              <w:t>商务响应满足第三章3.3商务要求（合格），任意一条不满足（不合格）</w:t>
            </w:r>
          </w:p>
        </w:tc>
        <w:tc>
          <w:tcPr>
            <w:tcW w:type="dxa" w:w="1661"/>
          </w:tcPr>
          <w:p>
            <w:pPr>
              <w:pStyle w:val="null3"/>
            </w:pPr>
            <w:r>
              <w:rPr>
                <w:rFonts w:ascii="仿宋_GB2312" w:hAnsi="仿宋_GB2312" w:cs="仿宋_GB2312" w:eastAsia="仿宋_GB2312"/>
              </w:rPr>
              <w:t>商务应答表 陕西省政府采购投标人拒绝政府采购领域商业贿赂承诺书及投标人认为有必要提供的其它资料.docx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符合法律、法规和采购文件中规定的其他实质性要求（合格） 不符合法律、法规和采购文件中规定的其他实质性要求（不合格）</w:t>
            </w:r>
          </w:p>
        </w:tc>
        <w:tc>
          <w:tcPr>
            <w:tcW w:type="dxa" w:w="1661"/>
          </w:tcPr>
          <w:p>
            <w:pPr>
              <w:pStyle w:val="null3"/>
            </w:pPr>
            <w:r>
              <w:rPr>
                <w:rFonts w:ascii="仿宋_GB2312" w:hAnsi="仿宋_GB2312" w:cs="仿宋_GB2312" w:eastAsia="仿宋_GB2312"/>
              </w:rPr>
              <w:t>开标一览表 投标人应提交的相关资格证明材料.docx 投标函 中小企业声明函 残疾人福利性单位声明函 商务应答表 标的清单 服务内容及服务要求应答表 投标文件封面 服务方案.docx 监狱企业的证明文件 陕西省政府采购投标人拒绝政府采购领域商业贿赂承诺书及投标人认为有必要提供的其它资料.docx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一、评审内容：供应商针对本项目提供总体服务方案，包括但不限于①项目区域现状分析②项目需求分析③工作思路和原则；④项目具体工作方案；⑤项目重点难点及解决措施。 二、评审标准：方案内容专门针对本项目编制，切合本项目实际情况及实施要求，内容与要点相符、每个要点均有展开详细的阐述且能够适用于本项目的计20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进度安排方案</w:t>
            </w:r>
          </w:p>
        </w:tc>
        <w:tc>
          <w:tcPr>
            <w:tcW w:type="dxa" w:w="2492"/>
          </w:tcPr>
          <w:p>
            <w:pPr>
              <w:pStyle w:val="null3"/>
            </w:pPr>
            <w:r>
              <w:rPr>
                <w:rFonts w:ascii="仿宋_GB2312" w:hAnsi="仿宋_GB2312" w:cs="仿宋_GB2312" w:eastAsia="仿宋_GB2312"/>
              </w:rPr>
              <w:t>一、评审内容：供应商针对本项目提供进度安排方案，包括但不限于①项目总体进度目标；②项目进度安排；③进度保障措施等。 二、评审标准：方案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一、评审内容：供应商针对本项目提供质量控制方案，包括但不限于：①质量目标及保证方案（编制的项目建议书、可行性研究报告需符合国家及地方相关规范标准，确保通过专家评审会及政府主管部门的审核，顺利取得相关批复）；②质量保证措施；③质量保证承诺。 二、评审标准：方案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一、评审内容：供应商可根据承担类似项目编制经验，结合本项目实际情况提出合理化建议，包括但不限于：①更有利于本项目进行管理的建议②造价控制的合理化建议③对本项目整体理解思路，可融入理念创新等。 二、评审标准：方案内容专门针对本项目编制，切合本项目实际情况及实施要求，内容与要点相符、每个要点均有展开详细的阐述且能够适用于本项目的计6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后续服务</w:t>
            </w:r>
          </w:p>
        </w:tc>
        <w:tc>
          <w:tcPr>
            <w:tcW w:type="dxa" w:w="2492"/>
          </w:tcPr>
          <w:p>
            <w:pPr>
              <w:pStyle w:val="null3"/>
            </w:pPr>
            <w:r>
              <w:rPr>
                <w:rFonts w:ascii="仿宋_GB2312" w:hAnsi="仿宋_GB2312" w:cs="仿宋_GB2312" w:eastAsia="仿宋_GB2312"/>
              </w:rPr>
              <w:t>一、评审内容：供应商针对本项目提供后续服务方案，包含但不限于：①廉洁保密承诺；②与采购人配合方案；③针对批复过程有可能的存在问题及解决措施等。 二、评审标准：方案内容专门针对本项目编制，切合本项目实际情况及实施要求，内容与要点相符、每个要点均有展开详细的阐述且能够适用于本项目的计6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项目组成员(不包含项目负责人)</w:t>
            </w:r>
          </w:p>
        </w:tc>
        <w:tc>
          <w:tcPr>
            <w:tcW w:type="dxa" w:w="2492"/>
          </w:tcPr>
          <w:p>
            <w:pPr>
              <w:pStyle w:val="null3"/>
            </w:pPr>
            <w:r>
              <w:rPr>
                <w:rFonts w:ascii="仿宋_GB2312" w:hAnsi="仿宋_GB2312" w:cs="仿宋_GB2312" w:eastAsia="仿宋_GB2312"/>
              </w:rPr>
              <w:t>一、项目团队：为本项目提供项目组成员≥10人得5分，5-9人得3分，5人以下不得分。 二、项目组成员中具有高级及高级以上职称且具备建筑专业注册咨询工程师证书或一级注册造价工程师证书，每提供一人得2分，本项最高得10分； 注：（1）拟派本项目人员在投标文件中须提供有效期内的证书扫描件以及投标单位为人员缴纳的近一年内连续3个月的社保证明材料（提供任意五险之一的社保缴纳证明即可）。（2）需提供证书复印件加盖单位公章，未按要求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项目负责人证书及业绩</w:t>
            </w:r>
          </w:p>
        </w:tc>
        <w:tc>
          <w:tcPr>
            <w:tcW w:type="dxa" w:w="2492"/>
          </w:tcPr>
          <w:p>
            <w:pPr>
              <w:pStyle w:val="null3"/>
            </w:pPr>
            <w:r>
              <w:rPr>
                <w:rFonts w:ascii="仿宋_GB2312" w:hAnsi="仿宋_GB2312" w:cs="仿宋_GB2312" w:eastAsia="仿宋_GB2312"/>
              </w:rPr>
              <w:t>一、拟派项目负责人具备正高级（教授级）专业技术职称的得5分；具备高级专业技术职称的得3分。注：（1）拟派本项目人员在投标文件中须提供有效期内的证书扫描件以及投标单位为人员缴纳的近一年内连续3个月的社保证明材料（提供任意五险之一的社保缴纳证明即可）。（2）需提供证书复印件加盖单位公章，未按要求提供不得分。 二、项目负责人业绩：提供自2023年6月1日至今类似项目业绩，每提供一个计2分，满分10分。 注：提供中标（成交）通知书或合同复印件，需体现项目负责人姓名。如上述文件不能体现项目负责人姓名的，可提供对应项目采购单位出具的相关证明扫描件或带有项目名称、项目负责人签名的咨询审查报告文件关键页扫描件。未提供不得分（可与企业业绩重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供应商提供自2023年6月1日至今类似项目业绩，每提供一个计2分，满分10分。（注：响应文件需要同时提供合同首页、服务内容页、盖章页复印件并加盖供应商公章，时间以合同签订时间为准。）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后报价最低的供应商的价格为基准价（落实政府采购政策进行价格调整的，以调整后的价格计算），其价格分为满分。其他供应商的价格分统一按照下列公式计算：报价得分=（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详见附件：陕西省政府采购投标人拒绝政府采购领域商业贿赂承诺书及投标人认为有必要提供的其它资料.docx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详见附件：项⽬建议书及可⾏性研究报告编制服务合同书.docx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