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版本号：LZBE2026-1135..1B120260824001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医疗责任保险采购项目(二次)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LZBE2026-1135..1B1</w:t>
      </w:r>
      <w:r>
        <w:br/>
      </w:r>
      <w:r>
        <w:br/>
      </w:r>
      <w:r>
        <w:br/>
      </w:r>
    </w:p>
    <w:p>
      <w:pPr>
        <w:pStyle w:val="null3"/>
        <w:jc w:val="center"/>
        <w:outlineLvl w:val="2"/>
      </w:pPr>
      <w:r>
        <w:rPr>
          <w:rFonts w:ascii="仿宋_GB2312" w:hAnsi="仿宋_GB2312" w:cs="仿宋_GB2312" w:eastAsia="仿宋_GB2312"/>
          <w:sz w:val="28"/>
          <w:b/>
        </w:rPr>
        <w:t>西安市阎良区人民医院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西安市阎良区人民医院</w:t>
      </w:r>
      <w:r>
        <w:rPr>
          <w:rFonts w:ascii="仿宋_GB2312" w:hAnsi="仿宋_GB2312" w:cs="仿宋_GB2312" w:eastAsia="仿宋_GB2312"/>
        </w:rPr>
        <w:t>委托，拟对</w:t>
      </w:r>
      <w:r>
        <w:rPr>
          <w:rFonts w:ascii="仿宋_GB2312" w:hAnsi="仿宋_GB2312" w:cs="仿宋_GB2312" w:eastAsia="仿宋_GB2312"/>
        </w:rPr>
        <w:t>医疗责任保险采购项目(二次)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LZBE2026-1135..1B1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医疗责任保险采购项目(二次)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医疗责任保险被视为一种市场化的风险分担转移机制、互助共济机制和社会管理机制，在保障医患双方的合法权益、防范化解医疗纠纷、构建和谐医患关系方面具有积极意义和重要作用。通过保险这一“第三方”力量，有效结合医疗纠纷调处机制，有利于保障医疗机构正常医疗秩序；同时，利用保险价格杠杆的激励约束作用，引导医疗机构转变观念，提高医疗风险防范意识，促进医疗机构加强内部管理，提高医疗服务质量和管理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供应商必须具有经营医疗责任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供应商必须具有经营医疗责任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供应商需在项目电子化交易系统中按要求上传相应证明文件并进行电子签章</w:t>
      </w:r>
    </w:p>
    <w:p>
      <w:pPr>
        <w:pStyle w:val="null3"/>
      </w:pPr>
      <w:r>
        <w:rPr>
          <w:rFonts w:ascii="仿宋_GB2312" w:hAnsi="仿宋_GB2312" w:cs="仿宋_GB2312" w:eastAsia="仿宋_GB2312"/>
        </w:rPr>
        <w:t>4、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5、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p>
      <w:pPr>
        <w:pStyle w:val="null3"/>
      </w:pPr>
      <w:r>
        <w:rPr>
          <w:rFonts w:ascii="仿宋_GB2312" w:hAnsi="仿宋_GB2312" w:cs="仿宋_GB2312" w:eastAsia="仿宋_GB2312"/>
        </w:rPr>
        <w:t>6、参加政府采购活动前3年内在经营活动中没有重大违法记录的书面声明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9、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胜利街康复巷9号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029-86866022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成交金额为取费基数，具体收费标准参照国家计委颁布的《招标代理服务收费管理暂行办法》（计价格[2002]1980号）和（发改办价格[2003]857号）、发改价格[2011]534号中服务类的收费标准计取。注：1、成交单位在领取成交通知书之前，须向代理机构支付招标代理服务费。2、招标代理服务费以转账或现金形式缴纳至以下账户： 开户名称：龙寰项目管理咨询有限公司，开户银行：平安银行西安高新路支行，账 号：30201278019034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西安市阎良区人民医院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疗责任保险被视为一种市场化的风险分担转移机制、互助共济机制和社会管理机制，在保障医患双方的合法权益、防范化解医疗纠纷、构建和谐医患关系方面具有积极意义和重要作用。通过保险这一“第三方”力量，有效结合医疗纠纷调处机制，有利于保障医疗机构正常医疗秩序；同时，利用保险价格杠杆的激励约束作用，引导医疗机构转变观念，提高医疗风险防范意识，促进医疗机构加强内部管理，提高医疗服务质量和管理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医疗责任保险采购项目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标的名称：医疗责任保险采购项目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一、投保险种：医疗责任保险</w:t>
            </w:r>
          </w:p>
          <w:p>
            <w:pPr>
              <w:pStyle w:val="null3"/>
            </w:pPr>
            <w:r>
              <w:rPr>
                <w:rFonts w:ascii="仿宋_GB2312" w:hAnsi="仿宋_GB2312" w:cs="仿宋_GB2312" w:eastAsia="仿宋_GB2312"/>
                <w:sz w:val="20"/>
              </w:rPr>
              <w:t>二、责任限额</w:t>
            </w:r>
            <w:r>
              <w:rPr>
                <w:rFonts w:ascii="仿宋_GB2312" w:hAnsi="仿宋_GB2312" w:cs="仿宋_GB2312" w:eastAsia="仿宋_GB2312"/>
                <w:sz w:val="20"/>
              </w:rPr>
              <w:t xml:space="preserve"> </w:t>
            </w:r>
          </w:p>
          <w:tbl>
            <w:tblPr>
              <w:tblBorders>
                <w:top w:val="none" w:color="000000" w:sz="4"/>
                <w:left w:val="none" w:color="000000" w:sz="4"/>
                <w:bottom w:val="none" w:color="000000" w:sz="4"/>
                <w:right w:val="none" w:color="000000" w:sz="4"/>
                <w:insideH w:val="none"/>
                <w:insideV w:val="none"/>
              </w:tblBorders>
            </w:tblPr>
            <w:tblGrid>
              <w:gridCol w:w="1008"/>
              <w:gridCol w:w="1545"/>
            </w:tblGrid>
            <w:tr>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每年累计责任限额</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100</w:t>
                  </w:r>
                  <w:r>
                    <w:rPr>
                      <w:rFonts w:ascii="仿宋_GB2312" w:hAnsi="仿宋_GB2312" w:cs="仿宋_GB2312" w:eastAsia="仿宋_GB2312"/>
                      <w:sz w:val="20"/>
                    </w:rPr>
                    <w:t>万元</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每次事故每人责任限额</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30</w:t>
                  </w:r>
                  <w:r>
                    <w:rPr>
                      <w:rFonts w:ascii="仿宋_GB2312" w:hAnsi="仿宋_GB2312" w:cs="仿宋_GB2312" w:eastAsia="仿宋_GB2312"/>
                      <w:sz w:val="20"/>
                    </w:rPr>
                    <w:t>万元</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累计法律费用责任限额</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累计责任限额的</w:t>
                  </w:r>
                  <w:r>
                    <w:rPr>
                      <w:rFonts w:ascii="仿宋_GB2312" w:hAnsi="仿宋_GB2312" w:cs="仿宋_GB2312" w:eastAsia="仿宋_GB2312"/>
                      <w:sz w:val="20"/>
                    </w:rPr>
                    <w:t>10%</w:t>
                  </w:r>
                </w:p>
                <w:p>
                  <w:pPr>
                    <w:pStyle w:val="null3"/>
                  </w:pPr>
                  <w:r>
                    <w:rPr>
                      <w:rFonts w:ascii="仿宋_GB2312" w:hAnsi="仿宋_GB2312" w:cs="仿宋_GB2312" w:eastAsia="仿宋_GB2312"/>
                      <w:sz w:val="20"/>
                    </w:rPr>
                    <w:t>（在累计责任限额以内计算）</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每次事故每位患者特别会诊费用责任限额</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r>
                    <w:rPr>
                      <w:rFonts w:ascii="仿宋_GB2312" w:hAnsi="仿宋_GB2312" w:cs="仿宋_GB2312" w:eastAsia="仿宋_GB2312"/>
                      <w:sz w:val="20"/>
                    </w:rPr>
                    <w:t>万元（在每次事故每位患者责任限额以外计算）</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每次事故每位患者精神损害抚慰金责任限额</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r>
                    <w:rPr>
                      <w:rFonts w:ascii="仿宋_GB2312" w:hAnsi="仿宋_GB2312" w:cs="仿宋_GB2312" w:eastAsia="仿宋_GB2312"/>
                      <w:sz w:val="20"/>
                    </w:rPr>
                    <w:t>万元（在每次事故每位患者责任限额以内计算）</w:t>
                  </w:r>
                </w:p>
              </w:tc>
            </w:tr>
            <w:tr>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每次事故及累计公平责任限额</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r>
                    <w:rPr>
                      <w:rFonts w:ascii="仿宋_GB2312" w:hAnsi="仿宋_GB2312" w:cs="仿宋_GB2312" w:eastAsia="仿宋_GB2312"/>
                      <w:sz w:val="20"/>
                    </w:rPr>
                    <w:t>万元</w:t>
                  </w:r>
                </w:p>
              </w:tc>
            </w:tr>
          </w:tbl>
          <w:p>
            <w:pPr>
              <w:pStyle w:val="null3"/>
            </w:pPr>
            <w:r>
              <w:rPr>
                <w:rFonts w:ascii="仿宋_GB2312" w:hAnsi="仿宋_GB2312" w:cs="仿宋_GB2312" w:eastAsia="仿宋_GB2312"/>
                <w:sz w:val="20"/>
              </w:rPr>
              <w:t>三、追溯期</w:t>
            </w:r>
          </w:p>
          <w:p>
            <w:pPr>
              <w:pStyle w:val="null3"/>
            </w:pPr>
            <w:r>
              <w:rPr>
                <w:rFonts w:ascii="仿宋_GB2312" w:hAnsi="仿宋_GB2312" w:cs="仿宋_GB2312" w:eastAsia="仿宋_GB2312"/>
                <w:sz w:val="20"/>
              </w:rPr>
              <w:t>1</w:t>
            </w:r>
            <w:r>
              <w:rPr>
                <w:rFonts w:ascii="仿宋_GB2312" w:hAnsi="仿宋_GB2312" w:cs="仿宋_GB2312" w:eastAsia="仿宋_GB2312"/>
                <w:sz w:val="20"/>
              </w:rPr>
              <w:t>、首次投保追溯期设定：首次投保本保险无追溯期；</w:t>
            </w:r>
          </w:p>
          <w:p>
            <w:pPr>
              <w:pStyle w:val="null3"/>
            </w:pPr>
            <w:r>
              <w:rPr>
                <w:rFonts w:ascii="仿宋_GB2312" w:hAnsi="仿宋_GB2312" w:cs="仿宋_GB2312" w:eastAsia="仿宋_GB2312"/>
                <w:sz w:val="20"/>
              </w:rPr>
              <w:t>2</w:t>
            </w:r>
            <w:r>
              <w:rPr>
                <w:rFonts w:ascii="仿宋_GB2312" w:hAnsi="仿宋_GB2312" w:cs="仿宋_GB2312" w:eastAsia="仿宋_GB2312"/>
                <w:sz w:val="20"/>
              </w:rPr>
              <w:t>、连续投保追溯期设定：连续投保本保险的，追溯期从保险期间起始日向前计算，最长不超过</w:t>
            </w:r>
            <w:r>
              <w:rPr>
                <w:rFonts w:ascii="仿宋_GB2312" w:hAnsi="仿宋_GB2312" w:cs="仿宋_GB2312" w:eastAsia="仿宋_GB2312"/>
                <w:sz w:val="20"/>
              </w:rPr>
              <w:t>3</w:t>
            </w:r>
            <w:r>
              <w:rPr>
                <w:rFonts w:ascii="仿宋_GB2312" w:hAnsi="仿宋_GB2312" w:cs="仿宋_GB2312" w:eastAsia="仿宋_GB2312"/>
                <w:sz w:val="20"/>
              </w:rPr>
              <w:t>年，且不早于连续投保本保险的第一张保险单的保险期间的起始日；</w:t>
            </w:r>
          </w:p>
          <w:p>
            <w:pPr>
              <w:pStyle w:val="null3"/>
            </w:pPr>
            <w:r>
              <w:rPr>
                <w:rFonts w:ascii="仿宋_GB2312" w:hAnsi="仿宋_GB2312" w:cs="仿宋_GB2312" w:eastAsia="仿宋_GB2312"/>
                <w:sz w:val="20"/>
              </w:rPr>
              <w:t>3</w:t>
            </w:r>
            <w:r>
              <w:rPr>
                <w:rFonts w:ascii="仿宋_GB2312" w:hAnsi="仿宋_GB2312" w:cs="仿宋_GB2312" w:eastAsia="仿宋_GB2312"/>
                <w:sz w:val="20"/>
              </w:rPr>
              <w:t>、如果投保人断保后再次投保的，追溯期需重新计算，即追溯期至多仅追溯至重新投保后第一张保险单保险期间的起始日，且最长不超过</w:t>
            </w:r>
            <w:r>
              <w:rPr>
                <w:rFonts w:ascii="仿宋_GB2312" w:hAnsi="仿宋_GB2312" w:cs="仿宋_GB2312" w:eastAsia="仿宋_GB2312"/>
                <w:sz w:val="20"/>
              </w:rPr>
              <w:t>3</w:t>
            </w:r>
            <w:r>
              <w:rPr>
                <w:rFonts w:ascii="仿宋_GB2312" w:hAnsi="仿宋_GB2312" w:cs="仿宋_GB2312" w:eastAsia="仿宋_GB2312"/>
                <w:sz w:val="20"/>
              </w:rPr>
              <w:t>年。</w:t>
            </w:r>
          </w:p>
          <w:p>
            <w:pPr>
              <w:pStyle w:val="null3"/>
            </w:pPr>
            <w:r>
              <w:rPr>
                <w:rFonts w:ascii="仿宋_GB2312" w:hAnsi="仿宋_GB2312" w:cs="仿宋_GB2312" w:eastAsia="仿宋_GB2312"/>
                <w:sz w:val="20"/>
              </w:rPr>
              <w:t>四、承保基础：期内索赔式。</w:t>
            </w:r>
          </w:p>
          <w:p>
            <w:pPr>
              <w:pStyle w:val="null3"/>
            </w:pPr>
            <w:r>
              <w:rPr>
                <w:rFonts w:ascii="仿宋_GB2312" w:hAnsi="仿宋_GB2312" w:cs="仿宋_GB2312" w:eastAsia="仿宋_GB2312"/>
                <w:sz w:val="20"/>
              </w:rPr>
              <w:t>五、保险条款</w:t>
            </w:r>
          </w:p>
          <w:p>
            <w:pPr>
              <w:pStyle w:val="null3"/>
            </w:pPr>
            <w:r>
              <w:rPr>
                <w:rFonts w:ascii="仿宋_GB2312" w:hAnsi="仿宋_GB2312" w:cs="仿宋_GB2312" w:eastAsia="仿宋_GB2312"/>
                <w:sz w:val="20"/>
              </w:rPr>
              <w:t>1</w:t>
            </w:r>
            <w:r>
              <w:rPr>
                <w:rFonts w:ascii="仿宋_GB2312" w:hAnsi="仿宋_GB2312" w:cs="仿宋_GB2312" w:eastAsia="仿宋_GB2312"/>
                <w:sz w:val="20"/>
              </w:rPr>
              <w:t>、基本条款</w:t>
            </w:r>
          </w:p>
          <w:p>
            <w:pPr>
              <w:pStyle w:val="null3"/>
            </w:pPr>
            <w:r>
              <w:rPr>
                <w:rFonts w:ascii="仿宋_GB2312" w:hAnsi="仿宋_GB2312" w:cs="仿宋_GB2312" w:eastAsia="仿宋_GB2312"/>
                <w:sz w:val="20"/>
              </w:rPr>
              <w:t>医疗责任保险条款</w:t>
            </w:r>
          </w:p>
          <w:p>
            <w:pPr>
              <w:pStyle w:val="null3"/>
            </w:pPr>
            <w:r>
              <w:rPr>
                <w:rFonts w:ascii="仿宋_GB2312" w:hAnsi="仿宋_GB2312" w:cs="仿宋_GB2312" w:eastAsia="仿宋_GB2312"/>
                <w:sz w:val="20"/>
              </w:rPr>
              <w:t>2</w:t>
            </w:r>
            <w:r>
              <w:rPr>
                <w:rFonts w:ascii="仿宋_GB2312" w:hAnsi="仿宋_GB2312" w:cs="仿宋_GB2312" w:eastAsia="仿宋_GB2312"/>
                <w:sz w:val="20"/>
              </w:rPr>
              <w:t>、附加条款</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）错误和遗漏条款</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）违反条件条款</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）免费发现期条款</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）不计免赔险条款</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）公平责任条款</w:t>
            </w:r>
          </w:p>
          <w:p>
            <w:pPr>
              <w:pStyle w:val="null3"/>
            </w:pPr>
            <w:r>
              <w:rPr>
                <w:rFonts w:ascii="仿宋_GB2312" w:hAnsi="仿宋_GB2312" w:cs="仿宋_GB2312" w:eastAsia="仿宋_GB2312"/>
                <w:sz w:val="20"/>
              </w:rPr>
              <w:t>六、特别约定</w:t>
            </w:r>
          </w:p>
          <w:p>
            <w:pPr>
              <w:pStyle w:val="null3"/>
            </w:pPr>
            <w:r>
              <w:rPr>
                <w:rFonts w:ascii="仿宋_GB2312" w:hAnsi="仿宋_GB2312" w:cs="仿宋_GB2312" w:eastAsia="仿宋_GB2312"/>
                <w:sz w:val="20"/>
              </w:rPr>
              <w:t>特别约定一、法律费用特别约定：</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兹经双方同意，发生可能引起本保险合同项下赔偿情形，被保险人被提起诉讼或仲裁时，对应由被保险人支付的诉讼费、鉴定费、评估费、律师费、仲裁费及其他相关费用等（以下简称“法律费用”），被保险人在支付前应告知保险人，无需征得保险人同意</w:t>
            </w:r>
            <w:r>
              <w:rPr>
                <w:rFonts w:ascii="仿宋_GB2312" w:hAnsi="仿宋_GB2312" w:cs="仿宋_GB2312" w:eastAsia="仿宋_GB2312"/>
                <w:sz w:val="20"/>
              </w:rPr>
              <w:t>,</w:t>
            </w:r>
            <w:r>
              <w:rPr>
                <w:rFonts w:ascii="仿宋_GB2312" w:hAnsi="仿宋_GB2312" w:cs="仿宋_GB2312" w:eastAsia="仿宋_GB2312"/>
                <w:sz w:val="20"/>
              </w:rPr>
              <w:t>告知形式包括但不限于书面、邮件、微信、</w:t>
            </w:r>
            <w:r>
              <w:rPr>
                <w:rFonts w:ascii="仿宋_GB2312" w:hAnsi="仿宋_GB2312" w:cs="仿宋_GB2312" w:eastAsia="仿宋_GB2312"/>
                <w:sz w:val="20"/>
              </w:rPr>
              <w:t>QQ</w:t>
            </w:r>
            <w:r>
              <w:rPr>
                <w:rFonts w:ascii="仿宋_GB2312" w:hAnsi="仿宋_GB2312" w:cs="仿宋_GB2312" w:eastAsia="仿宋_GB2312"/>
                <w:sz w:val="20"/>
              </w:rPr>
              <w:t>、短信告知等。</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）被保险人支付的法律费用，不得超出诉讼地政府主管部门或行业协会规定的收费标准或指导价格或生效裁判中确定的应由被保险人承担的数额，其中律师费用不得超过诉讼地律师行业协会规定的收费标准；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）如某项法律费用无政府主管部门或行业协会规定的收费标准或指导价格、或生效裁判中未确定应由被保险人承担的数额，则须事先经保险人同意</w:t>
            </w:r>
            <w:r>
              <w:rPr>
                <w:rFonts w:ascii="仿宋_GB2312" w:hAnsi="仿宋_GB2312" w:cs="仿宋_GB2312" w:eastAsia="仿宋_GB2312"/>
                <w:sz w:val="20"/>
              </w:rPr>
              <w:t>,</w:t>
            </w:r>
            <w:r>
              <w:rPr>
                <w:rFonts w:ascii="仿宋_GB2312" w:hAnsi="仿宋_GB2312" w:cs="仿宋_GB2312" w:eastAsia="仿宋_GB2312"/>
                <w:sz w:val="20"/>
              </w:rPr>
              <w:t>同意形式包括但不限于书面、邮件、微信、</w:t>
            </w:r>
            <w:r>
              <w:rPr>
                <w:rFonts w:ascii="仿宋_GB2312" w:hAnsi="仿宋_GB2312" w:cs="仿宋_GB2312" w:eastAsia="仿宋_GB2312"/>
                <w:sz w:val="20"/>
              </w:rPr>
              <w:t>QQ</w:t>
            </w:r>
            <w:r>
              <w:rPr>
                <w:rFonts w:ascii="仿宋_GB2312" w:hAnsi="仿宋_GB2312" w:cs="仿宋_GB2312" w:eastAsia="仿宋_GB2312"/>
                <w:sz w:val="20"/>
              </w:rPr>
              <w:t>、短信告知等</w:t>
            </w:r>
          </w:p>
          <w:p>
            <w:pPr>
              <w:pStyle w:val="null3"/>
            </w:pPr>
            <w:r>
              <w:rPr>
                <w:rFonts w:ascii="仿宋_GB2312" w:hAnsi="仿宋_GB2312" w:cs="仿宋_GB2312" w:eastAsia="仿宋_GB2312"/>
                <w:sz w:val="20"/>
              </w:rPr>
              <w:t>特别约定二、鉴定费用特别约定：</w:t>
            </w:r>
          </w:p>
          <w:p>
            <w:pPr>
              <w:pStyle w:val="null3"/>
            </w:pPr>
            <w:r>
              <w:rPr>
                <w:rFonts w:ascii="仿宋_GB2312" w:hAnsi="仿宋_GB2312" w:cs="仿宋_GB2312" w:eastAsia="仿宋_GB2312"/>
                <w:sz w:val="20"/>
              </w:rPr>
              <w:t>兹经双方同意，被保险人为查明和确定保险事故的性质、原因和保险标的的损失程度所支付的必要的、合理的费用（包括但不限于鉴定费、专家劳务费、尸检费等），保险人在保险责任范围内予以全额承担。</w:t>
            </w:r>
          </w:p>
          <w:p>
            <w:pPr>
              <w:pStyle w:val="null3"/>
            </w:pPr>
            <w:r>
              <w:rPr>
                <w:rFonts w:ascii="仿宋_GB2312" w:hAnsi="仿宋_GB2312" w:cs="仿宋_GB2312" w:eastAsia="仿宋_GB2312"/>
                <w:sz w:val="20"/>
              </w:rPr>
              <w:t>特别约定三、医务人员特别约定：</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医务人员是指经过国家有关部门考核、批准或承认，取得相应资格的各级各类卫生技术人员，也包括医疗管理人员、外聘医务人员、家庭医生、进修生、按照《医师外出会诊管理暂行规定》外请的会诊医务人员、符合多点执业条件的医务人员。</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）在本保险合同中，医务人员也包括按照《医学教育临床实践管理暂行规定》（卫办科教发</w:t>
            </w:r>
            <w:r>
              <w:rPr>
                <w:rFonts w:ascii="仿宋_GB2312" w:hAnsi="仿宋_GB2312" w:cs="仿宋_GB2312" w:eastAsia="仿宋_GB2312"/>
                <w:sz w:val="20"/>
              </w:rPr>
              <w:t>[2008]45</w:t>
            </w:r>
            <w:r>
              <w:rPr>
                <w:rFonts w:ascii="仿宋_GB2312" w:hAnsi="仿宋_GB2312" w:cs="仿宋_GB2312" w:eastAsia="仿宋_GB2312"/>
                <w:sz w:val="20"/>
              </w:rPr>
              <w:t>号）在临床带教教师或指导医务人员指导下进行诊疗活动的医学生、试用期医学毕业生。</w:t>
            </w:r>
          </w:p>
          <w:p>
            <w:pPr>
              <w:pStyle w:val="null3"/>
            </w:pPr>
            <w:r>
              <w:rPr>
                <w:rFonts w:ascii="仿宋_GB2312" w:hAnsi="仿宋_GB2312" w:cs="仿宋_GB2312" w:eastAsia="仿宋_GB2312"/>
                <w:sz w:val="20"/>
              </w:rPr>
              <w:t>特别约定</w:t>
            </w:r>
            <w:r>
              <w:rPr>
                <w:rFonts w:ascii="仿宋_GB2312" w:hAnsi="仿宋_GB2312" w:cs="仿宋_GB2312" w:eastAsia="仿宋_GB2312"/>
                <w:sz w:val="20"/>
              </w:rPr>
              <w:t>四</w:t>
            </w:r>
            <w:r>
              <w:rPr>
                <w:rFonts w:ascii="仿宋_GB2312" w:hAnsi="仿宋_GB2312" w:cs="仿宋_GB2312" w:eastAsia="仿宋_GB2312"/>
                <w:sz w:val="20"/>
              </w:rPr>
              <w:t>、特别会诊费用为超出医疗机构医疗水平时，以医疗机构名义外请医务人员所支付的必要的、合理的会诊费用。</w:t>
            </w:r>
          </w:p>
          <w:p>
            <w:pPr>
              <w:pStyle w:val="null3"/>
            </w:pPr>
            <w:r>
              <w:rPr>
                <w:rFonts w:ascii="仿宋_GB2312" w:hAnsi="仿宋_GB2312" w:cs="仿宋_GB2312" w:eastAsia="仿宋_GB2312"/>
                <w:sz w:val="20"/>
              </w:rPr>
              <w:t>特别约定</w:t>
            </w:r>
            <w:r>
              <w:rPr>
                <w:rFonts w:ascii="仿宋_GB2312" w:hAnsi="仿宋_GB2312" w:cs="仿宋_GB2312" w:eastAsia="仿宋_GB2312"/>
                <w:sz w:val="20"/>
              </w:rPr>
              <w:t>五</w:t>
            </w:r>
            <w:r>
              <w:rPr>
                <w:rFonts w:ascii="仿宋_GB2312" w:hAnsi="仿宋_GB2312" w:cs="仿宋_GB2312" w:eastAsia="仿宋_GB2312"/>
                <w:sz w:val="20"/>
              </w:rPr>
              <w:t>、鉴于西安市医疗机构中普遍存在中医科执业医师及中西医结合科执业医师跨科室执业的现象，保险人承诺在日常的医师执业管理过程中对此类行为不视为违法或违规行为，对此类情况予以正常理赔。</w:t>
            </w:r>
          </w:p>
          <w:p>
            <w:pPr>
              <w:pStyle w:val="null3"/>
            </w:pPr>
            <w:r>
              <w:rPr>
                <w:rFonts w:ascii="仿宋_GB2312" w:hAnsi="仿宋_GB2312" w:cs="仿宋_GB2312" w:eastAsia="仿宋_GB2312"/>
                <w:sz w:val="20"/>
              </w:rPr>
              <w:t>特别约定</w:t>
            </w:r>
            <w:r>
              <w:rPr>
                <w:rFonts w:ascii="仿宋_GB2312" w:hAnsi="仿宋_GB2312" w:cs="仿宋_GB2312" w:eastAsia="仿宋_GB2312"/>
                <w:sz w:val="20"/>
              </w:rPr>
              <w:t>六</w:t>
            </w:r>
            <w:r>
              <w:rPr>
                <w:rFonts w:ascii="仿宋_GB2312" w:hAnsi="仿宋_GB2312" w:cs="仿宋_GB2312" w:eastAsia="仿宋_GB2312"/>
                <w:sz w:val="20"/>
              </w:rPr>
              <w:t>、对于有上级单位管理的医疗机构，提供本机构或上级机构的医疗机构许可证即可，保险人承诺对此类行为不视为违法或违规行为，对此类情况予以正常理赔。</w:t>
            </w:r>
          </w:p>
          <w:p>
            <w:pPr>
              <w:pStyle w:val="null3"/>
            </w:pPr>
            <w:r>
              <w:rPr>
                <w:rFonts w:ascii="仿宋_GB2312" w:hAnsi="仿宋_GB2312" w:cs="仿宋_GB2312" w:eastAsia="仿宋_GB2312"/>
                <w:sz w:val="20"/>
              </w:rPr>
              <w:t>特别约定</w:t>
            </w:r>
            <w:r>
              <w:rPr>
                <w:rFonts w:ascii="仿宋_GB2312" w:hAnsi="仿宋_GB2312" w:cs="仿宋_GB2312" w:eastAsia="仿宋_GB2312"/>
                <w:sz w:val="20"/>
              </w:rPr>
              <w:t>七</w:t>
            </w:r>
            <w:r>
              <w:rPr>
                <w:rFonts w:ascii="仿宋_GB2312" w:hAnsi="仿宋_GB2312" w:cs="仿宋_GB2312" w:eastAsia="仿宋_GB2312"/>
                <w:sz w:val="20"/>
              </w:rPr>
              <w:t>：简易程序处理案件，医患双方自行达成和解协议并且和解金额在</w:t>
            </w:r>
            <w:r>
              <w:rPr>
                <w:rFonts w:ascii="仿宋_GB2312" w:hAnsi="仿宋_GB2312" w:cs="仿宋_GB2312" w:eastAsia="仿宋_GB2312"/>
                <w:sz w:val="20"/>
              </w:rPr>
              <w:t>10000</w:t>
            </w:r>
            <w:r>
              <w:rPr>
                <w:rFonts w:ascii="仿宋_GB2312" w:hAnsi="仿宋_GB2312" w:cs="仿宋_GB2312" w:eastAsia="仿宋_GB2312"/>
                <w:sz w:val="20"/>
              </w:rPr>
              <w:t>元（含）以下的案件，其适用于简易处理程序。在保险期间内，采用简易程序处理的案件赔偿责任限额为</w:t>
            </w:r>
            <w:r>
              <w:rPr>
                <w:rFonts w:ascii="仿宋_GB2312" w:hAnsi="仿宋_GB2312" w:cs="仿宋_GB2312" w:eastAsia="仿宋_GB2312"/>
                <w:sz w:val="20"/>
              </w:rPr>
              <w:t>20000</w:t>
            </w:r>
            <w:r>
              <w:rPr>
                <w:rFonts w:ascii="仿宋_GB2312" w:hAnsi="仿宋_GB2312" w:cs="仿宋_GB2312" w:eastAsia="仿宋_GB2312"/>
                <w:sz w:val="20"/>
              </w:rPr>
              <w:t>元</w:t>
            </w:r>
            <w:r>
              <w:rPr>
                <w:rFonts w:ascii="仿宋_GB2312" w:hAnsi="仿宋_GB2312" w:cs="仿宋_GB2312" w:eastAsia="仿宋_GB2312"/>
                <w:sz w:val="20"/>
              </w:rPr>
              <w:t>/</w:t>
            </w:r>
            <w:r>
              <w:rPr>
                <w:rFonts w:ascii="仿宋_GB2312" w:hAnsi="仿宋_GB2312" w:cs="仿宋_GB2312" w:eastAsia="仿宋_GB2312"/>
                <w:sz w:val="20"/>
              </w:rPr>
              <w:t>年，在累计责任限额以内计算。</w:t>
            </w:r>
          </w:p>
          <w:p>
            <w:pPr>
              <w:pStyle w:val="null3"/>
              <w:jc w:val="both"/>
            </w:pPr>
            <w:r>
              <w:rPr>
                <w:rFonts w:ascii="仿宋_GB2312" w:hAnsi="仿宋_GB2312" w:cs="仿宋_GB2312" w:eastAsia="仿宋_GB2312"/>
                <w:sz w:val="20"/>
              </w:rPr>
              <w:t>特别约定</w:t>
            </w:r>
            <w:r>
              <w:rPr>
                <w:rFonts w:ascii="仿宋_GB2312" w:hAnsi="仿宋_GB2312" w:cs="仿宋_GB2312" w:eastAsia="仿宋_GB2312"/>
                <w:sz w:val="20"/>
              </w:rPr>
              <w:t>八</w:t>
            </w:r>
            <w:r>
              <w:rPr>
                <w:rFonts w:ascii="仿宋_GB2312" w:hAnsi="仿宋_GB2312" w:cs="仿宋_GB2312" w:eastAsia="仿宋_GB2312"/>
                <w:sz w:val="20"/>
              </w:rPr>
              <w:t>、本协议中涉及法律条文描述与《中华人民共和国民法典》不符之处，以《中华人民共和国民法典》为准。</w:t>
            </w:r>
          </w:p>
          <w:p>
            <w:pPr>
              <w:pStyle w:val="null3"/>
              <w:jc w:val="left"/>
            </w:pPr>
            <w:r>
              <w:rPr>
                <w:rFonts w:ascii="仿宋_GB2312" w:hAnsi="仿宋_GB2312" w:cs="仿宋_GB2312" w:eastAsia="仿宋_GB2312"/>
                <w:sz w:val="20"/>
              </w:rPr>
              <w:t>特别约定九、</w:t>
            </w:r>
            <w:r>
              <w:rPr>
                <w:rFonts w:ascii="仿宋_GB2312" w:hAnsi="仿宋_GB2312" w:cs="仿宋_GB2312" w:eastAsia="仿宋_GB2312"/>
                <w:sz w:val="20"/>
              </w:rPr>
              <w:t>被保险人的医务人员参加慈善或公益性巡回医疗、义诊、城乡医院对口支援、突发事件或灾害事故医疗救援工作，参与实施基本和重大公共卫生服务项目</w:t>
            </w:r>
            <w:r>
              <w:rPr>
                <w:rFonts w:ascii="仿宋_GB2312" w:hAnsi="仿宋_GB2312" w:cs="仿宋_GB2312" w:eastAsia="仿宋_GB2312"/>
                <w:sz w:val="20"/>
              </w:rPr>
              <w:t>的，属于正常的诊疗活动，发生保险事故时，保险人在责任限额予以赔偿。</w:t>
            </w:r>
          </w:p>
          <w:p>
            <w:pPr>
              <w:pStyle w:val="null3"/>
              <w:jc w:val="left"/>
            </w:pPr>
            <w:r>
              <w:rPr>
                <w:rFonts w:ascii="仿宋_GB2312" w:hAnsi="仿宋_GB2312" w:cs="仿宋_GB2312" w:eastAsia="仿宋_GB2312"/>
                <w:sz w:val="20"/>
              </w:rPr>
              <w:t>特别约定十、</w:t>
            </w:r>
            <w:r>
              <w:rPr>
                <w:rFonts w:ascii="仿宋_GB2312" w:hAnsi="仿宋_GB2312" w:cs="仿宋_GB2312" w:eastAsia="仿宋_GB2312"/>
                <w:sz w:val="20"/>
              </w:rPr>
              <w:t>保险人的赔偿金额以按照下列方式之一确定的被保险人的经济赔偿责任为依据：</w:t>
            </w:r>
          </w:p>
          <w:p>
            <w:pPr>
              <w:pStyle w:val="null3"/>
              <w:jc w:val="left"/>
            </w:pPr>
            <w:r>
              <w:rPr>
                <w:rFonts w:ascii="仿宋_GB2312" w:hAnsi="仿宋_GB2312" w:cs="仿宋_GB2312" w:eastAsia="仿宋_GB2312"/>
                <w:sz w:val="20"/>
              </w:rPr>
              <w:t>（一）在医疗纠纷调解组织主持调解下被保险人与患方达成的调解协议；</w:t>
            </w:r>
          </w:p>
          <w:p>
            <w:pPr>
              <w:pStyle w:val="null3"/>
              <w:jc w:val="left"/>
            </w:pPr>
            <w:r>
              <w:rPr>
                <w:rFonts w:ascii="仿宋_GB2312" w:hAnsi="仿宋_GB2312" w:cs="仿宋_GB2312" w:eastAsia="仿宋_GB2312"/>
                <w:sz w:val="20"/>
              </w:rPr>
              <w:t>（二）人民法院判决、调解；</w:t>
            </w:r>
          </w:p>
          <w:p>
            <w:pPr>
              <w:pStyle w:val="null3"/>
              <w:jc w:val="left"/>
            </w:pPr>
            <w:r>
              <w:rPr>
                <w:rFonts w:ascii="仿宋_GB2312" w:hAnsi="仿宋_GB2312" w:cs="仿宋_GB2312" w:eastAsia="仿宋_GB2312"/>
                <w:sz w:val="20"/>
              </w:rPr>
              <w:t>（三）仲裁机构裁决、调解；</w:t>
            </w:r>
          </w:p>
          <w:p>
            <w:pPr>
              <w:pStyle w:val="null3"/>
              <w:jc w:val="left"/>
            </w:pPr>
            <w:r>
              <w:rPr>
                <w:rFonts w:ascii="仿宋_GB2312" w:hAnsi="仿宋_GB2312" w:cs="仿宋_GB2312" w:eastAsia="仿宋_GB2312"/>
                <w:sz w:val="20"/>
              </w:rPr>
              <w:t>（四）卫生健康行政部门的调解；</w:t>
            </w:r>
          </w:p>
          <w:p>
            <w:pPr>
              <w:pStyle w:val="null3"/>
              <w:jc w:val="left"/>
            </w:pPr>
            <w:r>
              <w:rPr>
                <w:rFonts w:ascii="仿宋_GB2312" w:hAnsi="仿宋_GB2312" w:cs="仿宋_GB2312" w:eastAsia="仿宋_GB2312"/>
                <w:sz w:val="20"/>
              </w:rPr>
              <w:t>（五）法律、法规规定的其他途径</w:t>
            </w:r>
          </w:p>
          <w:p>
            <w:pPr>
              <w:pStyle w:val="null3"/>
            </w:pPr>
            <w:r>
              <w:rPr>
                <w:rFonts w:ascii="仿宋_GB2312" w:hAnsi="仿宋_GB2312" w:cs="仿宋_GB2312" w:eastAsia="仿宋_GB2312"/>
                <w:sz w:val="20"/>
              </w:rPr>
              <w:t>（六）</w:t>
            </w:r>
            <w:r>
              <w:rPr>
                <w:rFonts w:ascii="仿宋_GB2312" w:hAnsi="仿宋_GB2312" w:cs="仿宋_GB2312" w:eastAsia="仿宋_GB2312"/>
                <w:sz w:val="20"/>
              </w:rPr>
              <w:t>保险人认可的其它方式。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针对项目运行设置服务团队，包含项目经理及服务成员，项目经理负责项目的组织、协调，服务成员负责投保支持、理赔支持及日常的保险咨询等工作，服务贯穿整个合同期间。</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进度款，保费一年一缴，每年投保时保险费一次性缴纳，达到付款条件起7个工作日内，支付合同总金额的100.0%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 3、在执行本合同中发生的或与本合同有关的争端，双方应通过友好协商解决，经协商在15天内不能达成协议时，应提交西安仲裁委员会仲裁。 4、仲裁裁决应为最终决定，并对双方具有约束力。 5、除另有裁决外，仲裁费应由败诉方负担。 6、在仲裁期间，除正在进行仲裁部分外，合同其他部分继续执行。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需提交纸质响应文件一正二副，应为上传至系统后签字盖章的PDF版打印文件。2、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3、由于系统原因，本项目确定供应商及签订合同分别按以下执行：（1）采购代理机构在评审结束之日起1个工作日内将评标报告送交采购人。采购人在收到评标报告后4个工作日内，在评标报告推荐的中标候选人名单中按顺序确定中标人。采购代理机构应当自中标人确定之日起1个工作日内，发出中标通知书，并在省级以上人民政府财政部门指定的媒体上公告中标结果，采购文件随中标结果同时公告。（2）采购人应在中标通知书发出之日起二十五日内与中标人签订采购合同。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5.本项目采购预算为一年预算，报价时按一年报价，服务期限三年，合同一年一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必须具有经营医疗责任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tc>
        <w:tc>
          <w:tcPr>
            <w:tcW w:type="dxa" w:w="3322"/>
          </w:tcPr>
          <w:p>
            <w:pPr>
              <w:pStyle w:val="null3"/>
            </w:pPr>
            <w:r>
              <w:rPr>
                <w:rFonts w:ascii="仿宋_GB2312" w:hAnsi="仿宋_GB2312" w:cs="仿宋_GB2312" w:eastAsia="仿宋_GB2312"/>
              </w:rPr>
              <w:t>供应商必须具有经营医疗责任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磋商响应第一次报价表.docx 商务响应偏离表.docx 技术响应部分.docx 中小企业声明函 残疾人福利性单位声明函 承诺书.docx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满足磋商文件要求，无缺漏项，未超出采购预算或最高限价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磋商响应第一次报价表.docx 商务响应偏离表.docx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商务响应偏离表.docx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评审得分相同的，按照最后报价由低到高的顺序推荐。评审得分且最后报价相同的，按照服务方案优劣顺序推荐。评审得分且最后报价且服务方案得分均相同的，成交候选供应商并列。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一、评审内容：针对本项目提供整体服务方案，包括但不限于①服务保障范围；②业务承揽；③出单；④保费收取；⑤理赔；⑥业务操作流程等。 二、评审标准：方案各部分内容全面详细、阐述条理清晰详尽、符合本项目采购需求，能保障本项目实施得24分；评审内容每缺一项扣4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针对本项目提供具体可行的质量保障方案，包括但不限于①服务质量保障措施；②投诉管理制度。 二、评审标准：方案各部分内容全面详细、阐述条理清晰详尽、符合本项目采购需求，能保障本项目实施得6分；评审内容每缺一项扣3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针对本项目提供完善的售后服务方案，包括但不限于①培训计划、内容及人员安排；②客户回访服务方案； 二、评审标准：方案各部分内容全面详细、阐述条理清晰详尽、符合本项目采购需求，能保障本项目实施得6分；评审内容每缺一项扣3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特色服务</w:t>
            </w:r>
          </w:p>
        </w:tc>
        <w:tc>
          <w:tcPr>
            <w:tcW w:type="dxa" w:w="2492"/>
          </w:tcPr>
          <w:p>
            <w:pPr>
              <w:pStyle w:val="null3"/>
            </w:pPr>
            <w:r>
              <w:rPr>
                <w:rFonts w:ascii="仿宋_GB2312" w:hAnsi="仿宋_GB2312" w:cs="仿宋_GB2312" w:eastAsia="仿宋_GB2312"/>
              </w:rPr>
              <w:t>一、评审内容 供应商提供①服务特色方案②其他增值服务及优惠承诺。 二、评审标准：各部分内容全面详细、阐述条理清晰详尽得4分；评审内容每缺一项扣2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1、服务团队人员分工明确，人员在6人及以上得6分；3-5人得3分；3人以下得1分；无人员分工不得分。 注：提供人员身份证件、劳动合同证明加盖公章。 2、项目经理自2023年7月1日至今担任过类似服务项目项目负责人或项目经理的经验，每提供一个得2分，最高得4分。 注：需提供能体现项目经理姓名的证明资料加盖公章，包括但不限于合同、中标通知书等。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1、针对本项目采购人保险服务需求的基础上，承诺能够垫付已产生未支付的理赔费用； 2、针对本项目提供上门收取理赔资料的服务承诺； 3、承诺参保所有信息数据不得外泄； 4、法律援助支持，涉及院方责任纠纷诉讼、调解案件，对接专业法务人员提供咨询指导； 5、24小时全天报案服务电话，并派专人受理索赔报案。 每提供一条承诺得3分，最高得15分。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风险综合评级</w:t>
            </w:r>
          </w:p>
        </w:tc>
        <w:tc>
          <w:tcPr>
            <w:tcW w:type="dxa" w:w="2492"/>
          </w:tcPr>
          <w:p>
            <w:pPr>
              <w:pStyle w:val="null3"/>
            </w:pPr>
            <w:r>
              <w:rPr>
                <w:rFonts w:ascii="仿宋_GB2312" w:hAnsi="仿宋_GB2312" w:cs="仿宋_GB2312" w:eastAsia="仿宋_GB2312"/>
              </w:rPr>
              <w:t>2025年风险综合评级A、AA、AAA类，得5分， B、BB、BBB类，得2分， C、CC、CCC类及以下，不得分。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供应商提供2023年7月1日至今类似服务业绩，提供1份业绩得2分；最多得10分。 注：以合同签订时间为准，并至少提供完整合同复印件加盖公章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满足磋商文件要求且最终报价最低的报价为评审基准价，其报价分为满分。其他供应商的报价分按以下公式计算：报价得分=(评审基准价／最终报价) ×20。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详见附件：磋商响应第一次报价表.docx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