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F36B75D">
      <w:pPr>
        <w:jc w:val="center"/>
        <w:rPr>
          <w:rFonts w:hint="eastAsia" w:asciiTheme="minorEastAsia" w:hAnsiTheme="minorEastAsia" w:eastAsiaTheme="minorEastAsia" w:cstheme="minorEastAsia"/>
          <w:b/>
          <w:bCs/>
          <w:sz w:val="32"/>
          <w:szCs w:val="32"/>
        </w:rPr>
      </w:pPr>
      <w:r>
        <w:rPr>
          <w:rFonts w:hint="eastAsia" w:asciiTheme="minorEastAsia" w:hAnsiTheme="minorEastAsia" w:eastAsiaTheme="minorEastAsia" w:cstheme="minorEastAsia"/>
          <w:b/>
          <w:bCs/>
          <w:sz w:val="32"/>
          <w:szCs w:val="32"/>
        </w:rPr>
        <w:t>采购需求</w:t>
      </w:r>
    </w:p>
    <w:tbl>
      <w:tblPr>
        <w:tblStyle w:val="6"/>
        <w:tblW w:w="4998" w:type="pct"/>
        <w:jc w:val="center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32"/>
        <w:gridCol w:w="4733"/>
        <w:gridCol w:w="1399"/>
        <w:gridCol w:w="1620"/>
      </w:tblGrid>
      <w:tr w14:paraId="398F2F25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25" w:type="pct"/>
            <w:vAlign w:val="center"/>
          </w:tcPr>
          <w:p w14:paraId="55D764F1">
            <w:pPr>
              <w:pStyle w:val="9"/>
              <w:spacing w:line="324" w:lineRule="auto"/>
              <w:jc w:val="center"/>
              <w:rPr>
                <w:rFonts w:hint="eastAsia" w:ascii="宋体" w:hAnsi="宋体" w:eastAsia="宋体" w:cs="宋体"/>
                <w:sz w:val="28"/>
                <w:szCs w:val="2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  <w:lang w:val="en-US" w:eastAsia="zh-CN"/>
              </w:rPr>
              <w:t>采购包号</w:t>
            </w:r>
          </w:p>
        </w:tc>
        <w:tc>
          <w:tcPr>
            <w:tcW w:w="2548" w:type="pct"/>
            <w:vAlign w:val="center"/>
          </w:tcPr>
          <w:p w14:paraId="749A1105">
            <w:pPr>
              <w:pStyle w:val="9"/>
              <w:spacing w:line="324" w:lineRule="auto"/>
              <w:jc w:val="center"/>
              <w:rPr>
                <w:rFonts w:ascii="宋体" w:hAnsi="宋体" w:eastAsia="宋体" w:cs="宋体"/>
                <w:sz w:val="28"/>
                <w:szCs w:val="28"/>
              </w:rPr>
            </w:pPr>
            <w:r>
              <w:rPr>
                <w:rFonts w:ascii="宋体" w:hAnsi="宋体" w:eastAsia="宋体" w:cs="宋体"/>
                <w:sz w:val="28"/>
                <w:szCs w:val="28"/>
              </w:rPr>
              <w:t>设备名称</w:t>
            </w:r>
          </w:p>
        </w:tc>
        <w:tc>
          <w:tcPr>
            <w:tcW w:w="753" w:type="pct"/>
            <w:vAlign w:val="center"/>
          </w:tcPr>
          <w:p w14:paraId="58EA6C01">
            <w:pPr>
              <w:pStyle w:val="9"/>
              <w:spacing w:line="324" w:lineRule="auto"/>
              <w:jc w:val="center"/>
              <w:rPr>
                <w:rFonts w:ascii="宋体" w:hAnsi="宋体" w:eastAsia="宋体" w:cs="宋体"/>
                <w:sz w:val="28"/>
                <w:szCs w:val="28"/>
              </w:rPr>
            </w:pPr>
            <w:r>
              <w:rPr>
                <w:rFonts w:ascii="宋体" w:hAnsi="宋体" w:eastAsia="宋体" w:cs="宋体"/>
                <w:sz w:val="28"/>
                <w:szCs w:val="28"/>
              </w:rPr>
              <w:t>数量</w:t>
            </w:r>
          </w:p>
        </w:tc>
        <w:tc>
          <w:tcPr>
            <w:tcW w:w="872" w:type="pct"/>
            <w:vMerge w:val="restart"/>
            <w:vAlign w:val="center"/>
          </w:tcPr>
          <w:p w14:paraId="1148C8CF">
            <w:pPr>
              <w:pStyle w:val="9"/>
              <w:spacing w:line="324" w:lineRule="auto"/>
              <w:jc w:val="center"/>
              <w:rPr>
                <w:rFonts w:hint="default" w:ascii="宋体" w:hAnsi="宋体" w:eastAsia="宋体" w:cs="宋体"/>
                <w:sz w:val="28"/>
                <w:szCs w:val="2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  <w:lang w:val="en-US" w:eastAsia="zh-CN"/>
              </w:rPr>
              <w:t>具体参数详见招标文件</w:t>
            </w:r>
          </w:p>
        </w:tc>
      </w:tr>
      <w:tr w14:paraId="24832209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12" w:hRule="atLeast"/>
          <w:jc w:val="center"/>
        </w:trPr>
        <w:tc>
          <w:tcPr>
            <w:tcW w:w="825" w:type="pct"/>
            <w:shd w:val="clear"/>
            <w:vAlign w:val="center"/>
          </w:tcPr>
          <w:p w14:paraId="681673C6">
            <w:pPr>
              <w:pStyle w:val="12"/>
              <w:spacing w:line="324" w:lineRule="auto"/>
              <w:jc w:val="center"/>
              <w:rPr>
                <w:rFonts w:hint="eastAsia" w:ascii="宋体" w:hAnsi="宋体" w:eastAsia="宋体" w:cs="宋体"/>
                <w:sz w:val="28"/>
                <w:szCs w:val="28"/>
                <w:lang w:val="zh-CN" w:eastAsia="zh-Hans" w:bidi="ar-SA"/>
              </w:rPr>
            </w:pPr>
            <w:r>
              <w:rPr>
                <w:rFonts w:hint="eastAsia"/>
                <w:sz w:val="28"/>
                <w:szCs w:val="28"/>
                <w:lang w:val="zh-CN" w:eastAsia="zh-Hans"/>
              </w:rPr>
              <w:t>1</w:t>
            </w:r>
          </w:p>
        </w:tc>
        <w:tc>
          <w:tcPr>
            <w:tcW w:w="2548" w:type="pct"/>
            <w:vAlign w:val="center"/>
          </w:tcPr>
          <w:p w14:paraId="00EA69B4">
            <w:pPr>
              <w:spacing w:line="324" w:lineRule="auto"/>
              <w:jc w:val="center"/>
              <w:rPr>
                <w:rFonts w:hint="eastAsia" w:ascii="宋体" w:hAnsi="宋体" w:eastAsia="宋体" w:cs="宋体"/>
                <w:sz w:val="28"/>
                <w:szCs w:val="28"/>
                <w:lang w:eastAsia="zh-Hans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  <w:lang w:eastAsia="zh-Hans"/>
              </w:rPr>
              <w:t>聚合酶链反应分析仪校准装置等设备</w:t>
            </w:r>
          </w:p>
        </w:tc>
        <w:tc>
          <w:tcPr>
            <w:tcW w:w="753" w:type="pct"/>
            <w:vAlign w:val="center"/>
          </w:tcPr>
          <w:p w14:paraId="568D8AEF">
            <w:pPr>
              <w:pStyle w:val="9"/>
              <w:spacing w:line="324" w:lineRule="auto"/>
              <w:jc w:val="center"/>
              <w:rPr>
                <w:rFonts w:hint="default" w:ascii="宋体" w:hAnsi="宋体" w:eastAsia="宋体" w:cs="宋体"/>
                <w:sz w:val="28"/>
                <w:szCs w:val="28"/>
                <w:lang w:val="en-US"/>
              </w:rPr>
            </w:pPr>
            <w:r>
              <w:rPr>
                <w:rFonts w:ascii="宋体" w:hAnsi="宋体" w:eastAsia="宋体" w:cs="宋体"/>
                <w:sz w:val="28"/>
                <w:szCs w:val="28"/>
                <w:lang w:eastAsia="zh-CN"/>
              </w:rPr>
              <w:t>1</w:t>
            </w:r>
            <w:r>
              <w:rPr>
                <w:rFonts w:hint="eastAsia" w:ascii="宋体" w:hAnsi="宋体" w:eastAsia="宋体" w:cs="宋体"/>
                <w:sz w:val="28"/>
                <w:szCs w:val="28"/>
                <w:lang w:val="en-US" w:eastAsia="zh-CN"/>
              </w:rPr>
              <w:t>批</w:t>
            </w:r>
          </w:p>
        </w:tc>
        <w:tc>
          <w:tcPr>
            <w:tcW w:w="872" w:type="pct"/>
            <w:vMerge w:val="continue"/>
            <w:tcBorders/>
            <w:vAlign w:val="center"/>
          </w:tcPr>
          <w:p w14:paraId="72CDD7C3">
            <w:pPr>
              <w:pStyle w:val="9"/>
              <w:spacing w:line="324" w:lineRule="auto"/>
              <w:jc w:val="center"/>
              <w:rPr>
                <w:rFonts w:ascii="宋体" w:hAnsi="宋体" w:eastAsia="宋体" w:cs="宋体"/>
                <w:sz w:val="28"/>
                <w:szCs w:val="28"/>
                <w:lang w:eastAsia="zh-CN"/>
              </w:rPr>
            </w:pPr>
          </w:p>
        </w:tc>
      </w:tr>
      <w:tr w14:paraId="3519EF8C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12" w:hRule="atLeast"/>
          <w:jc w:val="center"/>
        </w:trPr>
        <w:tc>
          <w:tcPr>
            <w:tcW w:w="825" w:type="pct"/>
            <w:shd w:val="clear"/>
            <w:vAlign w:val="center"/>
          </w:tcPr>
          <w:p w14:paraId="5BDEC8B8">
            <w:pPr>
              <w:pStyle w:val="12"/>
              <w:spacing w:line="324" w:lineRule="auto"/>
              <w:jc w:val="center"/>
              <w:rPr>
                <w:rFonts w:hint="eastAsia" w:ascii="宋体" w:hAnsi="宋体" w:eastAsia="宋体" w:cs="宋体"/>
                <w:sz w:val="28"/>
                <w:szCs w:val="28"/>
                <w:lang w:val="zh-CN" w:eastAsia="zh-Hans" w:bidi="ar-SA"/>
              </w:rPr>
            </w:pPr>
            <w:r>
              <w:rPr>
                <w:rFonts w:hint="eastAsia"/>
                <w:sz w:val="28"/>
                <w:szCs w:val="28"/>
                <w:lang w:val="en-US" w:eastAsia="zh-CN"/>
              </w:rPr>
              <w:t>2</w:t>
            </w:r>
          </w:p>
        </w:tc>
        <w:tc>
          <w:tcPr>
            <w:tcW w:w="2548" w:type="pct"/>
            <w:vAlign w:val="center"/>
          </w:tcPr>
          <w:p w14:paraId="3923AE0D">
            <w:pPr>
              <w:spacing w:line="324" w:lineRule="auto"/>
              <w:jc w:val="center"/>
              <w:rPr>
                <w:rFonts w:hint="eastAsia" w:ascii="宋体" w:hAnsi="宋体" w:eastAsia="宋体" w:cs="宋体"/>
                <w:sz w:val="28"/>
                <w:szCs w:val="28"/>
                <w:lang w:eastAsia="zh-Hans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  <w:lang w:val="zh-CN" w:eastAsia="zh-Hans"/>
              </w:rPr>
              <w:t>听力计检定装置等设备</w:t>
            </w:r>
          </w:p>
        </w:tc>
        <w:tc>
          <w:tcPr>
            <w:tcW w:w="753" w:type="pct"/>
            <w:vAlign w:val="center"/>
          </w:tcPr>
          <w:p w14:paraId="75198E6C">
            <w:pPr>
              <w:pStyle w:val="9"/>
              <w:spacing w:line="324" w:lineRule="auto"/>
              <w:jc w:val="center"/>
              <w:rPr>
                <w:rFonts w:ascii="宋体" w:hAnsi="宋体" w:eastAsia="宋体" w:cs="宋体"/>
                <w:sz w:val="28"/>
                <w:szCs w:val="28"/>
                <w:lang w:eastAsia="zh-CN"/>
              </w:rPr>
            </w:pPr>
            <w:r>
              <w:rPr>
                <w:rFonts w:hint="eastAsia" w:ascii="宋体" w:hAnsi="宋体" w:eastAsia="宋体" w:cs="宋体"/>
                <w:kern w:val="2"/>
                <w:sz w:val="28"/>
                <w:szCs w:val="28"/>
                <w:lang w:val="zh-CN" w:eastAsia="zh-CN" w:bidi="ar-SA"/>
              </w:rPr>
              <w:t>1</w:t>
            </w:r>
            <w:r>
              <w:rPr>
                <w:rFonts w:hint="eastAsia" w:ascii="宋体" w:hAnsi="宋体" w:eastAsia="宋体" w:cs="宋体"/>
                <w:kern w:val="2"/>
                <w:sz w:val="28"/>
                <w:szCs w:val="28"/>
                <w:lang w:val="en-US" w:eastAsia="zh-CN" w:bidi="ar-SA"/>
              </w:rPr>
              <w:t>批</w:t>
            </w:r>
          </w:p>
        </w:tc>
        <w:tc>
          <w:tcPr>
            <w:tcW w:w="872" w:type="pct"/>
            <w:vMerge w:val="continue"/>
            <w:tcBorders/>
            <w:vAlign w:val="center"/>
          </w:tcPr>
          <w:p w14:paraId="66429048">
            <w:pPr>
              <w:pStyle w:val="9"/>
              <w:spacing w:line="324" w:lineRule="auto"/>
              <w:jc w:val="center"/>
              <w:rPr>
                <w:rFonts w:ascii="宋体" w:hAnsi="宋体" w:eastAsia="宋体" w:cs="宋体"/>
                <w:sz w:val="28"/>
                <w:szCs w:val="28"/>
                <w:lang w:eastAsia="zh-CN"/>
              </w:rPr>
            </w:pPr>
          </w:p>
        </w:tc>
      </w:tr>
      <w:tr w14:paraId="2A2F5794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12" w:hRule="atLeast"/>
          <w:jc w:val="center"/>
        </w:trPr>
        <w:tc>
          <w:tcPr>
            <w:tcW w:w="825" w:type="pct"/>
            <w:shd w:val="clear"/>
            <w:vAlign w:val="center"/>
          </w:tcPr>
          <w:p w14:paraId="5AA4D12F">
            <w:pPr>
              <w:pStyle w:val="12"/>
              <w:spacing w:line="324" w:lineRule="auto"/>
              <w:jc w:val="center"/>
              <w:rPr>
                <w:rFonts w:hint="eastAsia" w:ascii="宋体" w:hAnsi="宋体" w:eastAsia="宋体" w:cs="宋体"/>
                <w:sz w:val="28"/>
                <w:szCs w:val="28"/>
                <w:lang w:val="zh-CN" w:eastAsia="zh-Hans" w:bidi="ar-SA"/>
              </w:rPr>
            </w:pPr>
            <w:r>
              <w:rPr>
                <w:rFonts w:hint="eastAsia"/>
                <w:sz w:val="28"/>
                <w:szCs w:val="28"/>
                <w:lang w:val="en-US" w:eastAsia="zh-CN"/>
              </w:rPr>
              <w:t>3</w:t>
            </w:r>
          </w:p>
        </w:tc>
        <w:tc>
          <w:tcPr>
            <w:tcW w:w="2548" w:type="pct"/>
            <w:vAlign w:val="center"/>
          </w:tcPr>
          <w:p w14:paraId="296FD759">
            <w:pPr>
              <w:spacing w:line="324" w:lineRule="auto"/>
              <w:jc w:val="center"/>
              <w:rPr>
                <w:rFonts w:hint="eastAsia" w:ascii="宋体" w:hAnsi="宋体" w:eastAsia="宋体" w:cs="宋体"/>
                <w:sz w:val="28"/>
                <w:szCs w:val="28"/>
                <w:lang w:eastAsia="zh-Hans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  <w:lang w:eastAsia="zh-Hans"/>
              </w:rPr>
              <w:t>多路温湿度巡检仪（配热电偶）装置等设备</w:t>
            </w:r>
          </w:p>
        </w:tc>
        <w:tc>
          <w:tcPr>
            <w:tcW w:w="753" w:type="pct"/>
            <w:shd w:val="clear"/>
            <w:vAlign w:val="center"/>
          </w:tcPr>
          <w:p w14:paraId="2F68BF07">
            <w:pPr>
              <w:pStyle w:val="9"/>
              <w:spacing w:line="324" w:lineRule="auto"/>
              <w:jc w:val="center"/>
              <w:rPr>
                <w:rFonts w:hint="eastAsia" w:ascii="宋体" w:hAnsi="宋体" w:eastAsia="宋体" w:cs="宋体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2"/>
                <w:sz w:val="28"/>
                <w:szCs w:val="28"/>
                <w:lang w:val="zh-CN" w:eastAsia="zh-CN" w:bidi="ar-SA"/>
              </w:rPr>
              <w:t>1</w:t>
            </w:r>
            <w:r>
              <w:rPr>
                <w:rFonts w:hint="eastAsia" w:ascii="宋体" w:hAnsi="宋体" w:eastAsia="宋体" w:cs="宋体"/>
                <w:kern w:val="2"/>
                <w:sz w:val="28"/>
                <w:szCs w:val="28"/>
                <w:lang w:val="en-US" w:eastAsia="zh-CN" w:bidi="ar-SA"/>
              </w:rPr>
              <w:t>批</w:t>
            </w:r>
          </w:p>
        </w:tc>
        <w:tc>
          <w:tcPr>
            <w:tcW w:w="872" w:type="pct"/>
            <w:vMerge w:val="continue"/>
            <w:tcBorders/>
            <w:vAlign w:val="center"/>
          </w:tcPr>
          <w:p w14:paraId="16BFA8B8">
            <w:pPr>
              <w:pStyle w:val="9"/>
              <w:spacing w:line="324" w:lineRule="auto"/>
              <w:jc w:val="center"/>
              <w:rPr>
                <w:rFonts w:ascii="宋体" w:hAnsi="宋体" w:eastAsia="宋体" w:cs="宋体"/>
                <w:sz w:val="28"/>
                <w:szCs w:val="28"/>
                <w:lang w:eastAsia="zh-CN"/>
              </w:rPr>
            </w:pPr>
          </w:p>
        </w:tc>
      </w:tr>
      <w:tr w14:paraId="4271F4CC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12" w:hRule="atLeast"/>
          <w:jc w:val="center"/>
        </w:trPr>
        <w:tc>
          <w:tcPr>
            <w:tcW w:w="825" w:type="pct"/>
            <w:shd w:val="clear"/>
            <w:vAlign w:val="center"/>
          </w:tcPr>
          <w:p w14:paraId="1AABC736">
            <w:pPr>
              <w:pStyle w:val="12"/>
              <w:spacing w:line="324" w:lineRule="auto"/>
              <w:jc w:val="center"/>
              <w:rPr>
                <w:rFonts w:hint="eastAsia" w:ascii="宋体" w:hAnsi="宋体" w:eastAsia="宋体" w:cs="宋体"/>
                <w:sz w:val="28"/>
                <w:szCs w:val="28"/>
                <w:lang w:val="zh-CN" w:eastAsia="zh-Hans" w:bidi="ar-SA"/>
              </w:rPr>
            </w:pPr>
            <w:r>
              <w:rPr>
                <w:rFonts w:hint="eastAsia"/>
                <w:sz w:val="28"/>
                <w:szCs w:val="28"/>
                <w:lang w:val="en-US" w:eastAsia="zh-CN"/>
              </w:rPr>
              <w:t>4</w:t>
            </w:r>
          </w:p>
        </w:tc>
        <w:tc>
          <w:tcPr>
            <w:tcW w:w="2548" w:type="pct"/>
            <w:shd w:val="clear"/>
            <w:vAlign w:val="center"/>
          </w:tcPr>
          <w:p w14:paraId="27BC5838">
            <w:pPr>
              <w:pStyle w:val="9"/>
              <w:jc w:val="center"/>
              <w:rPr>
                <w:rFonts w:hint="eastAsia" w:ascii="宋体" w:hAnsi="宋体" w:eastAsia="宋体" w:cs="宋体"/>
                <w:kern w:val="2"/>
                <w:sz w:val="28"/>
                <w:szCs w:val="28"/>
                <w:lang w:val="en-US" w:eastAsia="zh-Hans" w:bidi="ar-SA"/>
              </w:rPr>
            </w:pPr>
            <w:r>
              <w:rPr>
                <w:rFonts w:hint="eastAsia" w:ascii="宋体" w:hAnsi="宋体" w:eastAsia="宋体" w:cs="宋体"/>
                <w:kern w:val="2"/>
                <w:sz w:val="28"/>
                <w:szCs w:val="28"/>
                <w:lang w:val="en-US" w:eastAsia="zh-Hans" w:bidi="ar-SA"/>
              </w:rPr>
              <w:t>空盒气压表检定装置等设备</w:t>
            </w:r>
          </w:p>
        </w:tc>
        <w:tc>
          <w:tcPr>
            <w:tcW w:w="753" w:type="pct"/>
            <w:vAlign w:val="center"/>
          </w:tcPr>
          <w:p w14:paraId="594E924C">
            <w:pPr>
              <w:spacing w:line="324" w:lineRule="auto"/>
              <w:jc w:val="center"/>
              <w:rPr>
                <w:rFonts w:ascii="宋体" w:hAnsi="宋体" w:eastAsia="宋体" w:cs="宋体"/>
                <w:sz w:val="28"/>
                <w:szCs w:val="28"/>
                <w:lang w:eastAsia="zh-CN"/>
              </w:rPr>
            </w:pPr>
            <w:r>
              <w:rPr>
                <w:rFonts w:hint="eastAsia" w:ascii="宋体" w:hAnsi="宋体" w:eastAsia="宋体" w:cs="宋体"/>
                <w:kern w:val="2"/>
                <w:sz w:val="28"/>
                <w:szCs w:val="28"/>
                <w:lang w:val="zh-CN" w:eastAsia="zh-CN" w:bidi="ar-SA"/>
              </w:rPr>
              <w:t>1</w:t>
            </w:r>
            <w:r>
              <w:rPr>
                <w:rFonts w:hint="eastAsia" w:ascii="宋体" w:hAnsi="宋体" w:eastAsia="宋体" w:cs="宋体"/>
                <w:kern w:val="2"/>
                <w:sz w:val="28"/>
                <w:szCs w:val="28"/>
                <w:lang w:val="en-US" w:eastAsia="zh-CN" w:bidi="ar-SA"/>
              </w:rPr>
              <w:t>批</w:t>
            </w:r>
          </w:p>
        </w:tc>
        <w:tc>
          <w:tcPr>
            <w:tcW w:w="872" w:type="pct"/>
            <w:vMerge w:val="continue"/>
            <w:tcBorders/>
            <w:vAlign w:val="center"/>
          </w:tcPr>
          <w:p w14:paraId="6B5D9186">
            <w:pPr>
              <w:pStyle w:val="9"/>
              <w:spacing w:line="324" w:lineRule="auto"/>
              <w:jc w:val="center"/>
              <w:rPr>
                <w:rFonts w:ascii="宋体" w:hAnsi="宋体" w:eastAsia="宋体" w:cs="宋体"/>
                <w:sz w:val="28"/>
                <w:szCs w:val="28"/>
                <w:lang w:eastAsia="zh-CN"/>
              </w:rPr>
            </w:pPr>
          </w:p>
        </w:tc>
      </w:tr>
      <w:tr w14:paraId="58000A21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12" w:hRule="atLeast"/>
          <w:jc w:val="center"/>
        </w:trPr>
        <w:tc>
          <w:tcPr>
            <w:tcW w:w="825" w:type="pct"/>
            <w:shd w:val="clear"/>
            <w:vAlign w:val="center"/>
          </w:tcPr>
          <w:p w14:paraId="09EBFFF9">
            <w:pPr>
              <w:pStyle w:val="12"/>
              <w:spacing w:line="324" w:lineRule="auto"/>
              <w:jc w:val="center"/>
              <w:rPr>
                <w:rFonts w:hint="eastAsia" w:ascii="宋体" w:hAnsi="宋体" w:eastAsia="宋体" w:cs="宋体"/>
                <w:sz w:val="28"/>
                <w:szCs w:val="28"/>
                <w:lang w:val="zh-CN" w:eastAsia="zh-Hans" w:bidi="ar-SA"/>
              </w:rPr>
            </w:pPr>
            <w:r>
              <w:rPr>
                <w:rFonts w:hint="eastAsia"/>
                <w:sz w:val="28"/>
                <w:szCs w:val="28"/>
                <w:lang w:val="en-US" w:eastAsia="zh-CN"/>
              </w:rPr>
              <w:t>5</w:t>
            </w:r>
          </w:p>
        </w:tc>
        <w:tc>
          <w:tcPr>
            <w:tcW w:w="2548" w:type="pct"/>
            <w:shd w:val="clear"/>
            <w:vAlign w:val="center"/>
          </w:tcPr>
          <w:p w14:paraId="1CBD5858">
            <w:pPr>
              <w:pStyle w:val="9"/>
              <w:jc w:val="center"/>
              <w:rPr>
                <w:rFonts w:hint="eastAsia" w:ascii="宋体" w:hAnsi="宋体" w:eastAsia="宋体" w:cs="宋体"/>
                <w:kern w:val="2"/>
                <w:sz w:val="28"/>
                <w:szCs w:val="28"/>
                <w:lang w:val="en-US" w:eastAsia="zh-Hans" w:bidi="ar-SA"/>
              </w:rPr>
            </w:pPr>
            <w:r>
              <w:rPr>
                <w:rFonts w:hint="eastAsia" w:ascii="宋体" w:hAnsi="宋体" w:eastAsia="宋体" w:cs="宋体"/>
                <w:kern w:val="2"/>
                <w:sz w:val="28"/>
                <w:szCs w:val="28"/>
                <w:lang w:val="en-US" w:eastAsia="zh-Hans" w:bidi="ar-SA"/>
              </w:rPr>
              <w:t>大口径液体流量计标准装置等设备</w:t>
            </w:r>
          </w:p>
        </w:tc>
        <w:tc>
          <w:tcPr>
            <w:tcW w:w="753" w:type="pct"/>
            <w:vAlign w:val="center"/>
          </w:tcPr>
          <w:p w14:paraId="7CA98ABF">
            <w:pPr>
              <w:spacing w:line="324" w:lineRule="auto"/>
              <w:jc w:val="center"/>
              <w:rPr>
                <w:rFonts w:ascii="宋体" w:hAnsi="宋体" w:eastAsia="宋体" w:cs="宋体"/>
                <w:sz w:val="28"/>
                <w:szCs w:val="28"/>
                <w:lang w:eastAsia="zh-CN"/>
              </w:rPr>
            </w:pPr>
            <w:r>
              <w:rPr>
                <w:rFonts w:hint="eastAsia" w:ascii="宋体" w:hAnsi="宋体" w:eastAsia="宋体" w:cs="宋体"/>
                <w:kern w:val="2"/>
                <w:sz w:val="28"/>
                <w:szCs w:val="28"/>
                <w:lang w:val="zh-CN" w:eastAsia="zh-CN" w:bidi="ar-SA"/>
              </w:rPr>
              <w:t>1</w:t>
            </w:r>
            <w:r>
              <w:rPr>
                <w:rFonts w:hint="eastAsia" w:ascii="宋体" w:hAnsi="宋体" w:eastAsia="宋体" w:cs="宋体"/>
                <w:kern w:val="2"/>
                <w:sz w:val="28"/>
                <w:szCs w:val="28"/>
                <w:lang w:val="en-US" w:eastAsia="zh-CN" w:bidi="ar-SA"/>
              </w:rPr>
              <w:t>批</w:t>
            </w:r>
          </w:p>
        </w:tc>
        <w:tc>
          <w:tcPr>
            <w:tcW w:w="872" w:type="pct"/>
            <w:vMerge w:val="continue"/>
            <w:tcBorders/>
            <w:vAlign w:val="center"/>
          </w:tcPr>
          <w:p w14:paraId="110DEC2C">
            <w:pPr>
              <w:pStyle w:val="9"/>
              <w:spacing w:line="324" w:lineRule="auto"/>
              <w:jc w:val="center"/>
              <w:rPr>
                <w:rFonts w:ascii="宋体" w:hAnsi="宋体" w:eastAsia="宋体" w:cs="宋体"/>
                <w:sz w:val="28"/>
                <w:szCs w:val="28"/>
                <w:lang w:eastAsia="zh-CN"/>
              </w:rPr>
            </w:pPr>
          </w:p>
        </w:tc>
      </w:tr>
      <w:tr w14:paraId="0A0B053A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12" w:hRule="atLeast"/>
          <w:jc w:val="center"/>
        </w:trPr>
        <w:tc>
          <w:tcPr>
            <w:tcW w:w="825" w:type="pct"/>
            <w:shd w:val="clear"/>
            <w:vAlign w:val="center"/>
          </w:tcPr>
          <w:p w14:paraId="6A755D82">
            <w:pPr>
              <w:pStyle w:val="12"/>
              <w:spacing w:line="324" w:lineRule="auto"/>
              <w:jc w:val="center"/>
              <w:rPr>
                <w:rFonts w:hint="eastAsia" w:ascii="宋体" w:hAnsi="宋体" w:eastAsia="宋体" w:cs="宋体"/>
                <w:sz w:val="28"/>
                <w:szCs w:val="28"/>
                <w:lang w:val="zh-CN" w:eastAsia="zh-Hans" w:bidi="ar-SA"/>
              </w:rPr>
            </w:pPr>
            <w:r>
              <w:rPr>
                <w:rFonts w:hint="eastAsia"/>
                <w:sz w:val="28"/>
                <w:szCs w:val="28"/>
                <w:lang w:val="en-US" w:eastAsia="zh-CN"/>
              </w:rPr>
              <w:t>6</w:t>
            </w:r>
          </w:p>
        </w:tc>
        <w:tc>
          <w:tcPr>
            <w:tcW w:w="2548" w:type="pct"/>
            <w:shd w:val="clear"/>
            <w:vAlign w:val="center"/>
          </w:tcPr>
          <w:p w14:paraId="7AF57180">
            <w:pPr>
              <w:pStyle w:val="9"/>
              <w:jc w:val="center"/>
              <w:rPr>
                <w:rFonts w:hint="eastAsia" w:ascii="宋体" w:hAnsi="宋体" w:eastAsia="宋体" w:cs="宋体"/>
                <w:kern w:val="2"/>
                <w:sz w:val="28"/>
                <w:szCs w:val="28"/>
                <w:lang w:val="en-US" w:eastAsia="zh-Hans" w:bidi="ar-SA"/>
              </w:rPr>
            </w:pPr>
            <w:r>
              <w:rPr>
                <w:rFonts w:hint="eastAsia" w:ascii="宋体" w:hAnsi="宋体" w:eastAsia="宋体" w:cs="宋体"/>
                <w:kern w:val="2"/>
                <w:sz w:val="28"/>
                <w:szCs w:val="28"/>
                <w:lang w:val="en-US" w:eastAsia="zh-Hans" w:bidi="ar-SA"/>
              </w:rPr>
              <w:t>音速喷嘴法超声波燃气表检</w:t>
            </w:r>
            <w:bookmarkStart w:id="0" w:name="_GoBack"/>
            <w:bookmarkEnd w:id="0"/>
            <w:r>
              <w:rPr>
                <w:rFonts w:hint="eastAsia" w:ascii="宋体" w:hAnsi="宋体" w:eastAsia="宋体" w:cs="宋体"/>
                <w:kern w:val="2"/>
                <w:sz w:val="28"/>
                <w:szCs w:val="28"/>
                <w:lang w:val="en-US" w:eastAsia="zh-Hans" w:bidi="ar-SA"/>
              </w:rPr>
              <w:t>定装置等设备</w:t>
            </w:r>
          </w:p>
        </w:tc>
        <w:tc>
          <w:tcPr>
            <w:tcW w:w="753" w:type="pct"/>
            <w:vAlign w:val="center"/>
          </w:tcPr>
          <w:p w14:paraId="1FCF16E3">
            <w:pPr>
              <w:spacing w:line="324" w:lineRule="auto"/>
              <w:jc w:val="center"/>
              <w:rPr>
                <w:rFonts w:ascii="宋体" w:hAnsi="宋体" w:eastAsia="宋体" w:cs="宋体"/>
                <w:sz w:val="28"/>
                <w:szCs w:val="28"/>
                <w:lang w:eastAsia="zh-CN"/>
              </w:rPr>
            </w:pPr>
            <w:r>
              <w:rPr>
                <w:rFonts w:hint="eastAsia" w:ascii="宋体" w:hAnsi="宋体" w:eastAsia="宋体" w:cs="宋体"/>
                <w:kern w:val="2"/>
                <w:sz w:val="28"/>
                <w:szCs w:val="28"/>
                <w:lang w:val="zh-CN" w:eastAsia="zh-CN" w:bidi="ar-SA"/>
              </w:rPr>
              <w:t>1</w:t>
            </w:r>
            <w:r>
              <w:rPr>
                <w:rFonts w:hint="eastAsia" w:ascii="宋体" w:hAnsi="宋体" w:eastAsia="宋体" w:cs="宋体"/>
                <w:kern w:val="2"/>
                <w:sz w:val="28"/>
                <w:szCs w:val="28"/>
                <w:lang w:val="en-US" w:eastAsia="zh-CN" w:bidi="ar-SA"/>
              </w:rPr>
              <w:t>批</w:t>
            </w:r>
          </w:p>
        </w:tc>
        <w:tc>
          <w:tcPr>
            <w:tcW w:w="872" w:type="pct"/>
            <w:vMerge w:val="continue"/>
            <w:tcBorders/>
            <w:vAlign w:val="center"/>
          </w:tcPr>
          <w:p w14:paraId="38F99A0E">
            <w:pPr>
              <w:pStyle w:val="9"/>
              <w:spacing w:line="324" w:lineRule="auto"/>
              <w:jc w:val="center"/>
              <w:rPr>
                <w:rFonts w:ascii="宋体" w:hAnsi="宋体" w:eastAsia="宋体" w:cs="宋体"/>
                <w:sz w:val="28"/>
                <w:szCs w:val="28"/>
                <w:lang w:eastAsia="zh-CN"/>
              </w:rPr>
            </w:pPr>
          </w:p>
        </w:tc>
      </w:tr>
      <w:tr w14:paraId="21C148CA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12" w:hRule="atLeast"/>
          <w:jc w:val="center"/>
        </w:trPr>
        <w:tc>
          <w:tcPr>
            <w:tcW w:w="825" w:type="pct"/>
            <w:shd w:val="clear"/>
            <w:vAlign w:val="center"/>
          </w:tcPr>
          <w:p w14:paraId="2606AA55">
            <w:pPr>
              <w:pStyle w:val="12"/>
              <w:spacing w:line="324" w:lineRule="auto"/>
              <w:jc w:val="center"/>
              <w:rPr>
                <w:rFonts w:hint="eastAsia" w:ascii="宋体" w:hAnsi="宋体" w:eastAsia="宋体" w:cs="宋体"/>
                <w:sz w:val="28"/>
                <w:szCs w:val="28"/>
                <w:lang w:val="zh-CN" w:eastAsia="zh-Hans" w:bidi="ar-SA"/>
              </w:rPr>
            </w:pPr>
            <w:r>
              <w:rPr>
                <w:rFonts w:hint="eastAsia"/>
                <w:sz w:val="28"/>
                <w:szCs w:val="28"/>
                <w:lang w:val="en-US" w:eastAsia="zh-CN"/>
              </w:rPr>
              <w:t>7</w:t>
            </w:r>
          </w:p>
        </w:tc>
        <w:tc>
          <w:tcPr>
            <w:tcW w:w="2548" w:type="pct"/>
            <w:shd w:val="clear"/>
            <w:vAlign w:val="center"/>
          </w:tcPr>
          <w:p w14:paraId="4C07381C">
            <w:pPr>
              <w:pStyle w:val="9"/>
              <w:jc w:val="center"/>
              <w:rPr>
                <w:rFonts w:hint="eastAsia" w:ascii="宋体" w:hAnsi="宋体" w:eastAsia="宋体" w:cs="宋体"/>
                <w:kern w:val="2"/>
                <w:sz w:val="28"/>
                <w:szCs w:val="28"/>
                <w:lang w:val="en-US" w:eastAsia="zh-Hans" w:bidi="ar-SA"/>
              </w:rPr>
            </w:pPr>
            <w:r>
              <w:rPr>
                <w:rFonts w:hint="eastAsia" w:ascii="宋体" w:hAnsi="宋体" w:eastAsia="宋体" w:cs="宋体"/>
                <w:kern w:val="2"/>
                <w:sz w:val="28"/>
                <w:szCs w:val="28"/>
                <w:lang w:val="en-US" w:eastAsia="zh-Hans" w:bidi="ar-SA"/>
              </w:rPr>
              <w:t>三相电能表检定装置等设备</w:t>
            </w:r>
          </w:p>
        </w:tc>
        <w:tc>
          <w:tcPr>
            <w:tcW w:w="753" w:type="pct"/>
            <w:vAlign w:val="center"/>
          </w:tcPr>
          <w:p w14:paraId="6E80B91C">
            <w:pPr>
              <w:spacing w:line="324" w:lineRule="auto"/>
              <w:jc w:val="center"/>
              <w:rPr>
                <w:rFonts w:ascii="宋体" w:hAnsi="宋体" w:eastAsia="宋体" w:cs="宋体"/>
                <w:sz w:val="28"/>
                <w:szCs w:val="28"/>
                <w:lang w:eastAsia="zh-CN"/>
              </w:rPr>
            </w:pPr>
            <w:r>
              <w:rPr>
                <w:rFonts w:hint="eastAsia" w:ascii="宋体" w:hAnsi="宋体" w:eastAsia="宋体" w:cs="宋体"/>
                <w:kern w:val="2"/>
                <w:sz w:val="28"/>
                <w:szCs w:val="28"/>
                <w:lang w:val="zh-CN" w:eastAsia="zh-CN" w:bidi="ar-SA"/>
              </w:rPr>
              <w:t>1</w:t>
            </w:r>
            <w:r>
              <w:rPr>
                <w:rFonts w:hint="eastAsia" w:ascii="宋体" w:hAnsi="宋体" w:eastAsia="宋体" w:cs="宋体"/>
                <w:kern w:val="2"/>
                <w:sz w:val="28"/>
                <w:szCs w:val="28"/>
                <w:lang w:val="en-US" w:eastAsia="zh-CN" w:bidi="ar-SA"/>
              </w:rPr>
              <w:t>批</w:t>
            </w:r>
          </w:p>
        </w:tc>
        <w:tc>
          <w:tcPr>
            <w:tcW w:w="872" w:type="pct"/>
            <w:vMerge w:val="continue"/>
            <w:tcBorders/>
            <w:vAlign w:val="center"/>
          </w:tcPr>
          <w:p w14:paraId="5D9D51B6">
            <w:pPr>
              <w:pStyle w:val="9"/>
              <w:spacing w:line="324" w:lineRule="auto"/>
              <w:jc w:val="center"/>
              <w:rPr>
                <w:rFonts w:ascii="宋体" w:hAnsi="宋体" w:eastAsia="宋体" w:cs="宋体"/>
                <w:sz w:val="28"/>
                <w:szCs w:val="28"/>
                <w:lang w:eastAsia="zh-CN"/>
              </w:rPr>
            </w:pPr>
          </w:p>
        </w:tc>
      </w:tr>
      <w:tr w14:paraId="46433D7F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12" w:hRule="atLeast"/>
          <w:jc w:val="center"/>
        </w:trPr>
        <w:tc>
          <w:tcPr>
            <w:tcW w:w="825" w:type="pct"/>
            <w:shd w:val="clear"/>
            <w:vAlign w:val="center"/>
          </w:tcPr>
          <w:p w14:paraId="79BE6D8D">
            <w:pPr>
              <w:pStyle w:val="12"/>
              <w:spacing w:line="324" w:lineRule="auto"/>
              <w:jc w:val="center"/>
              <w:rPr>
                <w:rFonts w:hint="eastAsia" w:ascii="宋体" w:hAnsi="宋体" w:eastAsia="宋体" w:cs="宋体"/>
                <w:sz w:val="28"/>
                <w:szCs w:val="28"/>
                <w:lang w:val="zh-CN" w:eastAsia="zh-Hans" w:bidi="ar-SA"/>
              </w:rPr>
            </w:pPr>
            <w:r>
              <w:rPr>
                <w:rFonts w:hint="eastAsia"/>
                <w:sz w:val="28"/>
                <w:szCs w:val="28"/>
                <w:lang w:val="en-US" w:eastAsia="zh-CN"/>
              </w:rPr>
              <w:t>8</w:t>
            </w:r>
          </w:p>
        </w:tc>
        <w:tc>
          <w:tcPr>
            <w:tcW w:w="2548" w:type="pct"/>
            <w:shd w:val="clear"/>
            <w:vAlign w:val="center"/>
          </w:tcPr>
          <w:p w14:paraId="2C172FF2">
            <w:pPr>
              <w:pStyle w:val="9"/>
              <w:jc w:val="center"/>
              <w:rPr>
                <w:rFonts w:hint="eastAsia" w:ascii="宋体" w:hAnsi="宋体" w:eastAsia="宋体" w:cs="宋体"/>
                <w:kern w:val="2"/>
                <w:sz w:val="28"/>
                <w:szCs w:val="28"/>
                <w:lang w:val="en-US" w:eastAsia="zh-Hans" w:bidi="ar-SA"/>
              </w:rPr>
            </w:pPr>
            <w:r>
              <w:rPr>
                <w:rFonts w:hint="eastAsia" w:ascii="宋体" w:hAnsi="宋体" w:eastAsia="宋体" w:cs="宋体"/>
                <w:kern w:val="2"/>
                <w:sz w:val="28"/>
                <w:szCs w:val="28"/>
                <w:lang w:val="en-US" w:eastAsia="zh-Hans" w:bidi="ar-SA"/>
              </w:rPr>
              <w:t>Ⅱ级生物安全柜/洁净工作台性能参数校准装置等设备</w:t>
            </w:r>
          </w:p>
        </w:tc>
        <w:tc>
          <w:tcPr>
            <w:tcW w:w="753" w:type="pct"/>
            <w:vAlign w:val="center"/>
          </w:tcPr>
          <w:p w14:paraId="2814A07D">
            <w:pPr>
              <w:spacing w:line="324" w:lineRule="auto"/>
              <w:jc w:val="center"/>
              <w:rPr>
                <w:rFonts w:ascii="宋体" w:hAnsi="宋体" w:eastAsia="宋体" w:cs="宋体"/>
                <w:sz w:val="28"/>
                <w:szCs w:val="28"/>
                <w:lang w:eastAsia="zh-CN"/>
              </w:rPr>
            </w:pPr>
            <w:r>
              <w:rPr>
                <w:rFonts w:hint="eastAsia" w:ascii="宋体" w:hAnsi="宋体" w:eastAsia="宋体" w:cs="宋体"/>
                <w:kern w:val="2"/>
                <w:sz w:val="28"/>
                <w:szCs w:val="28"/>
                <w:lang w:val="zh-CN" w:eastAsia="zh-CN" w:bidi="ar-SA"/>
              </w:rPr>
              <w:t>1</w:t>
            </w:r>
            <w:r>
              <w:rPr>
                <w:rFonts w:hint="eastAsia" w:ascii="宋体" w:hAnsi="宋体" w:eastAsia="宋体" w:cs="宋体"/>
                <w:kern w:val="2"/>
                <w:sz w:val="28"/>
                <w:szCs w:val="28"/>
                <w:lang w:val="en-US" w:eastAsia="zh-CN" w:bidi="ar-SA"/>
              </w:rPr>
              <w:t>批</w:t>
            </w:r>
          </w:p>
        </w:tc>
        <w:tc>
          <w:tcPr>
            <w:tcW w:w="872" w:type="pct"/>
            <w:vMerge w:val="continue"/>
            <w:tcBorders/>
            <w:vAlign w:val="center"/>
          </w:tcPr>
          <w:p w14:paraId="71CDC2F6">
            <w:pPr>
              <w:pStyle w:val="9"/>
              <w:spacing w:line="324" w:lineRule="auto"/>
              <w:jc w:val="center"/>
              <w:rPr>
                <w:rFonts w:ascii="宋体" w:hAnsi="宋体" w:eastAsia="宋体" w:cs="宋体"/>
                <w:sz w:val="28"/>
                <w:szCs w:val="28"/>
                <w:lang w:eastAsia="zh-CN"/>
              </w:rPr>
            </w:pPr>
          </w:p>
        </w:tc>
      </w:tr>
      <w:tr w14:paraId="19DE0B62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12" w:hRule="atLeast"/>
          <w:jc w:val="center"/>
        </w:trPr>
        <w:tc>
          <w:tcPr>
            <w:tcW w:w="825" w:type="pct"/>
            <w:shd w:val="clear"/>
            <w:vAlign w:val="center"/>
          </w:tcPr>
          <w:p w14:paraId="034FDCE7">
            <w:pPr>
              <w:pStyle w:val="12"/>
              <w:spacing w:line="324" w:lineRule="auto"/>
              <w:jc w:val="center"/>
              <w:rPr>
                <w:rFonts w:hint="eastAsia" w:ascii="宋体" w:hAnsi="宋体" w:eastAsia="宋体" w:cs="宋体"/>
                <w:sz w:val="28"/>
                <w:szCs w:val="28"/>
                <w:lang w:val="zh-CN" w:eastAsia="zh-Hans" w:bidi="ar-SA"/>
              </w:rPr>
            </w:pPr>
            <w:r>
              <w:rPr>
                <w:rFonts w:hint="eastAsia"/>
                <w:sz w:val="28"/>
                <w:szCs w:val="28"/>
                <w:lang w:val="en-US" w:eastAsia="zh-CN"/>
              </w:rPr>
              <w:t>9</w:t>
            </w:r>
          </w:p>
        </w:tc>
        <w:tc>
          <w:tcPr>
            <w:tcW w:w="2548" w:type="pct"/>
            <w:shd w:val="clear"/>
            <w:vAlign w:val="center"/>
          </w:tcPr>
          <w:p w14:paraId="0693921F">
            <w:pPr>
              <w:pStyle w:val="9"/>
              <w:jc w:val="center"/>
              <w:rPr>
                <w:rFonts w:hint="eastAsia" w:ascii="宋体" w:hAnsi="宋体" w:eastAsia="宋体" w:cs="宋体"/>
                <w:kern w:val="2"/>
                <w:sz w:val="28"/>
                <w:szCs w:val="28"/>
                <w:lang w:val="en-US" w:eastAsia="zh-Hans" w:bidi="ar-SA"/>
              </w:rPr>
            </w:pPr>
            <w:r>
              <w:rPr>
                <w:rFonts w:hint="eastAsia" w:ascii="宋体" w:hAnsi="宋体" w:eastAsia="宋体" w:cs="宋体"/>
                <w:kern w:val="2"/>
                <w:sz w:val="28"/>
                <w:szCs w:val="28"/>
                <w:lang w:val="en-US" w:eastAsia="zh-Hans" w:bidi="ar-SA"/>
              </w:rPr>
              <w:t>医用磁共振成像系统校准装置等设备</w:t>
            </w:r>
          </w:p>
        </w:tc>
        <w:tc>
          <w:tcPr>
            <w:tcW w:w="753" w:type="pct"/>
            <w:vAlign w:val="center"/>
          </w:tcPr>
          <w:p w14:paraId="572EB46A">
            <w:pPr>
              <w:spacing w:line="324" w:lineRule="auto"/>
              <w:jc w:val="center"/>
              <w:rPr>
                <w:rFonts w:ascii="宋体" w:hAnsi="宋体" w:eastAsia="宋体" w:cs="宋体"/>
                <w:sz w:val="28"/>
                <w:szCs w:val="28"/>
                <w:lang w:eastAsia="zh-CN"/>
              </w:rPr>
            </w:pPr>
            <w:r>
              <w:rPr>
                <w:rFonts w:hint="eastAsia" w:ascii="宋体" w:hAnsi="宋体" w:eastAsia="宋体" w:cs="宋体"/>
                <w:kern w:val="2"/>
                <w:sz w:val="28"/>
                <w:szCs w:val="28"/>
                <w:lang w:val="zh-CN" w:eastAsia="zh-CN" w:bidi="ar-SA"/>
              </w:rPr>
              <w:t>1</w:t>
            </w:r>
            <w:r>
              <w:rPr>
                <w:rFonts w:hint="eastAsia" w:ascii="宋体" w:hAnsi="宋体" w:eastAsia="宋体" w:cs="宋体"/>
                <w:kern w:val="2"/>
                <w:sz w:val="28"/>
                <w:szCs w:val="28"/>
                <w:lang w:val="en-US" w:eastAsia="zh-CN" w:bidi="ar-SA"/>
              </w:rPr>
              <w:t>批</w:t>
            </w:r>
          </w:p>
        </w:tc>
        <w:tc>
          <w:tcPr>
            <w:tcW w:w="872" w:type="pct"/>
            <w:vMerge w:val="continue"/>
            <w:tcBorders/>
            <w:vAlign w:val="center"/>
          </w:tcPr>
          <w:p w14:paraId="0BE9EB78">
            <w:pPr>
              <w:pStyle w:val="9"/>
              <w:spacing w:line="324" w:lineRule="auto"/>
              <w:jc w:val="center"/>
              <w:rPr>
                <w:rFonts w:ascii="宋体" w:hAnsi="宋体" w:eastAsia="宋体" w:cs="宋体"/>
                <w:sz w:val="28"/>
                <w:szCs w:val="28"/>
                <w:lang w:eastAsia="zh-CN"/>
              </w:rPr>
            </w:pPr>
          </w:p>
        </w:tc>
      </w:tr>
      <w:tr w14:paraId="6735B219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12" w:hRule="atLeast"/>
          <w:jc w:val="center"/>
        </w:trPr>
        <w:tc>
          <w:tcPr>
            <w:tcW w:w="825" w:type="pct"/>
            <w:shd w:val="clear"/>
            <w:vAlign w:val="center"/>
          </w:tcPr>
          <w:p w14:paraId="2D4D22F6">
            <w:pPr>
              <w:pStyle w:val="12"/>
              <w:spacing w:line="324" w:lineRule="auto"/>
              <w:jc w:val="center"/>
              <w:rPr>
                <w:rFonts w:hint="eastAsia" w:ascii="宋体" w:hAnsi="宋体" w:eastAsia="宋体" w:cs="宋体"/>
                <w:sz w:val="28"/>
                <w:szCs w:val="28"/>
                <w:lang w:val="zh-CN" w:eastAsia="zh-Hans" w:bidi="ar-SA"/>
              </w:rPr>
            </w:pPr>
            <w:r>
              <w:rPr>
                <w:rFonts w:hint="eastAsia"/>
                <w:sz w:val="28"/>
                <w:szCs w:val="28"/>
                <w:lang w:val="en-US" w:eastAsia="zh-CN"/>
              </w:rPr>
              <w:t>10</w:t>
            </w:r>
          </w:p>
        </w:tc>
        <w:tc>
          <w:tcPr>
            <w:tcW w:w="2548" w:type="pct"/>
            <w:shd w:val="clear"/>
            <w:vAlign w:val="center"/>
          </w:tcPr>
          <w:p w14:paraId="5806D298">
            <w:pPr>
              <w:pStyle w:val="9"/>
              <w:jc w:val="center"/>
              <w:rPr>
                <w:rFonts w:hint="eastAsia" w:ascii="宋体" w:hAnsi="宋体" w:eastAsia="宋体" w:cs="宋体"/>
                <w:kern w:val="2"/>
                <w:sz w:val="28"/>
                <w:szCs w:val="28"/>
                <w:lang w:val="en-US" w:eastAsia="zh-Hans" w:bidi="ar-SA"/>
              </w:rPr>
            </w:pPr>
            <w:r>
              <w:rPr>
                <w:rFonts w:hint="eastAsia" w:ascii="宋体" w:hAnsi="宋体" w:eastAsia="宋体" w:cs="宋体"/>
                <w:kern w:val="2"/>
                <w:sz w:val="28"/>
                <w:szCs w:val="28"/>
                <w:lang w:val="en-US" w:eastAsia="zh-Hans" w:bidi="ar-SA"/>
              </w:rPr>
              <w:t>流量检测仪等设备</w:t>
            </w:r>
          </w:p>
        </w:tc>
        <w:tc>
          <w:tcPr>
            <w:tcW w:w="753" w:type="pct"/>
            <w:vAlign w:val="center"/>
          </w:tcPr>
          <w:p w14:paraId="3A75CB12">
            <w:pPr>
              <w:spacing w:line="324" w:lineRule="auto"/>
              <w:jc w:val="center"/>
              <w:rPr>
                <w:rFonts w:ascii="宋体" w:hAnsi="宋体" w:eastAsia="宋体" w:cs="宋体"/>
                <w:sz w:val="28"/>
                <w:szCs w:val="28"/>
                <w:lang w:eastAsia="zh-CN"/>
              </w:rPr>
            </w:pPr>
            <w:r>
              <w:rPr>
                <w:rFonts w:hint="eastAsia" w:ascii="宋体" w:hAnsi="宋体" w:eastAsia="宋体" w:cs="宋体"/>
                <w:kern w:val="2"/>
                <w:sz w:val="28"/>
                <w:szCs w:val="28"/>
                <w:lang w:val="zh-CN" w:eastAsia="zh-CN" w:bidi="ar-SA"/>
              </w:rPr>
              <w:t>1</w:t>
            </w:r>
            <w:r>
              <w:rPr>
                <w:rFonts w:hint="eastAsia" w:ascii="宋体" w:hAnsi="宋体" w:eastAsia="宋体" w:cs="宋体"/>
                <w:kern w:val="2"/>
                <w:sz w:val="28"/>
                <w:szCs w:val="28"/>
                <w:lang w:val="en-US" w:eastAsia="zh-CN" w:bidi="ar-SA"/>
              </w:rPr>
              <w:t>批</w:t>
            </w:r>
          </w:p>
        </w:tc>
        <w:tc>
          <w:tcPr>
            <w:tcW w:w="872" w:type="pct"/>
            <w:vMerge w:val="continue"/>
            <w:tcBorders/>
            <w:vAlign w:val="center"/>
          </w:tcPr>
          <w:p w14:paraId="21749FF0">
            <w:pPr>
              <w:pStyle w:val="9"/>
              <w:spacing w:line="324" w:lineRule="auto"/>
              <w:jc w:val="center"/>
              <w:rPr>
                <w:rFonts w:ascii="宋体" w:hAnsi="宋体" w:eastAsia="宋体" w:cs="宋体"/>
                <w:sz w:val="28"/>
                <w:szCs w:val="28"/>
                <w:lang w:eastAsia="zh-CN"/>
              </w:rPr>
            </w:pPr>
          </w:p>
        </w:tc>
      </w:tr>
      <w:tr w14:paraId="5422F52F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12" w:hRule="atLeast"/>
          <w:jc w:val="center"/>
        </w:trPr>
        <w:tc>
          <w:tcPr>
            <w:tcW w:w="825" w:type="pct"/>
            <w:shd w:val="clear"/>
            <w:vAlign w:val="center"/>
          </w:tcPr>
          <w:p w14:paraId="41561FA2">
            <w:pPr>
              <w:pStyle w:val="12"/>
              <w:spacing w:line="324" w:lineRule="auto"/>
              <w:jc w:val="center"/>
              <w:rPr>
                <w:rFonts w:hint="eastAsia" w:ascii="宋体" w:hAnsi="宋体" w:eastAsia="宋体" w:cs="宋体"/>
                <w:sz w:val="28"/>
                <w:szCs w:val="28"/>
                <w:lang w:val="zh-CN" w:eastAsia="zh-Hans" w:bidi="ar-SA"/>
              </w:rPr>
            </w:pPr>
            <w:r>
              <w:rPr>
                <w:rFonts w:hint="eastAsia"/>
                <w:sz w:val="28"/>
                <w:szCs w:val="28"/>
                <w:lang w:val="en-US" w:eastAsia="zh-CN"/>
              </w:rPr>
              <w:t>11</w:t>
            </w:r>
          </w:p>
        </w:tc>
        <w:tc>
          <w:tcPr>
            <w:tcW w:w="2548" w:type="pct"/>
            <w:shd w:val="clear"/>
            <w:vAlign w:val="center"/>
          </w:tcPr>
          <w:p w14:paraId="33A5894D">
            <w:pPr>
              <w:pStyle w:val="9"/>
              <w:jc w:val="center"/>
              <w:rPr>
                <w:rFonts w:hint="eastAsia" w:ascii="宋体" w:hAnsi="宋体" w:eastAsia="宋体" w:cs="宋体"/>
                <w:kern w:val="2"/>
                <w:sz w:val="28"/>
                <w:szCs w:val="28"/>
                <w:lang w:val="en-US" w:eastAsia="zh-Hans" w:bidi="ar-SA"/>
              </w:rPr>
            </w:pPr>
            <w:r>
              <w:rPr>
                <w:rFonts w:hint="eastAsia" w:ascii="宋体" w:hAnsi="宋体" w:eastAsia="宋体" w:cs="宋体"/>
                <w:kern w:val="2"/>
                <w:sz w:val="28"/>
                <w:szCs w:val="28"/>
                <w:lang w:val="en-US" w:eastAsia="zh-Hans" w:bidi="ar-SA"/>
              </w:rPr>
              <w:t>婴儿辐射保暖台校准装置等设备</w:t>
            </w:r>
          </w:p>
        </w:tc>
        <w:tc>
          <w:tcPr>
            <w:tcW w:w="753" w:type="pct"/>
            <w:vAlign w:val="center"/>
          </w:tcPr>
          <w:p w14:paraId="42D1BD15">
            <w:pPr>
              <w:spacing w:line="324" w:lineRule="auto"/>
              <w:jc w:val="center"/>
              <w:rPr>
                <w:rFonts w:ascii="宋体" w:hAnsi="宋体" w:eastAsia="宋体" w:cs="宋体"/>
                <w:sz w:val="28"/>
                <w:szCs w:val="28"/>
                <w:lang w:eastAsia="zh-CN"/>
              </w:rPr>
            </w:pPr>
            <w:r>
              <w:rPr>
                <w:rFonts w:hint="eastAsia" w:ascii="宋体" w:hAnsi="宋体" w:eastAsia="宋体" w:cs="宋体"/>
                <w:kern w:val="2"/>
                <w:sz w:val="28"/>
                <w:szCs w:val="28"/>
                <w:lang w:val="zh-CN" w:eastAsia="zh-CN" w:bidi="ar-SA"/>
              </w:rPr>
              <w:t>1</w:t>
            </w:r>
            <w:r>
              <w:rPr>
                <w:rFonts w:hint="eastAsia" w:ascii="宋体" w:hAnsi="宋体" w:eastAsia="宋体" w:cs="宋体"/>
                <w:kern w:val="2"/>
                <w:sz w:val="28"/>
                <w:szCs w:val="28"/>
                <w:lang w:val="en-US" w:eastAsia="zh-CN" w:bidi="ar-SA"/>
              </w:rPr>
              <w:t>批</w:t>
            </w:r>
          </w:p>
        </w:tc>
        <w:tc>
          <w:tcPr>
            <w:tcW w:w="872" w:type="pct"/>
            <w:vMerge w:val="continue"/>
            <w:tcBorders/>
            <w:vAlign w:val="center"/>
          </w:tcPr>
          <w:p w14:paraId="43326E91">
            <w:pPr>
              <w:pStyle w:val="9"/>
              <w:spacing w:line="324" w:lineRule="auto"/>
              <w:jc w:val="center"/>
              <w:rPr>
                <w:rFonts w:ascii="宋体" w:hAnsi="宋体" w:eastAsia="宋体" w:cs="宋体"/>
                <w:sz w:val="28"/>
                <w:szCs w:val="28"/>
                <w:lang w:eastAsia="zh-CN"/>
              </w:rPr>
            </w:pPr>
          </w:p>
        </w:tc>
      </w:tr>
      <w:tr w14:paraId="320C8BA5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12" w:hRule="atLeast"/>
          <w:jc w:val="center"/>
        </w:trPr>
        <w:tc>
          <w:tcPr>
            <w:tcW w:w="825" w:type="pct"/>
            <w:shd w:val="clear"/>
            <w:vAlign w:val="center"/>
          </w:tcPr>
          <w:p w14:paraId="4D64D255">
            <w:pPr>
              <w:pStyle w:val="12"/>
              <w:spacing w:line="324" w:lineRule="auto"/>
              <w:jc w:val="center"/>
              <w:rPr>
                <w:rFonts w:hint="eastAsia" w:ascii="宋体" w:hAnsi="宋体" w:eastAsia="宋体" w:cs="宋体"/>
                <w:sz w:val="28"/>
                <w:szCs w:val="28"/>
                <w:lang w:val="zh-CN" w:eastAsia="zh-Hans" w:bidi="ar-SA"/>
              </w:rPr>
            </w:pPr>
            <w:r>
              <w:rPr>
                <w:rFonts w:hint="eastAsia"/>
                <w:sz w:val="28"/>
                <w:szCs w:val="28"/>
                <w:lang w:val="en-US" w:eastAsia="zh-CN"/>
              </w:rPr>
              <w:t>12</w:t>
            </w:r>
          </w:p>
        </w:tc>
        <w:tc>
          <w:tcPr>
            <w:tcW w:w="2548" w:type="pct"/>
            <w:shd w:val="clear"/>
            <w:vAlign w:val="center"/>
          </w:tcPr>
          <w:p w14:paraId="45EBC599">
            <w:pPr>
              <w:pStyle w:val="9"/>
              <w:jc w:val="center"/>
              <w:rPr>
                <w:rFonts w:hint="eastAsia" w:ascii="宋体" w:hAnsi="宋体" w:eastAsia="宋体" w:cs="宋体"/>
                <w:kern w:val="2"/>
                <w:sz w:val="28"/>
                <w:szCs w:val="28"/>
                <w:lang w:val="en-US" w:eastAsia="zh-Hans" w:bidi="ar-SA"/>
              </w:rPr>
            </w:pPr>
            <w:r>
              <w:rPr>
                <w:rFonts w:hint="eastAsia" w:ascii="宋体" w:hAnsi="宋体" w:eastAsia="宋体" w:cs="宋体"/>
                <w:kern w:val="2"/>
                <w:sz w:val="28"/>
                <w:szCs w:val="28"/>
                <w:lang w:val="en-US" w:eastAsia="zh-Hans" w:bidi="ar-SA"/>
              </w:rPr>
              <w:t>超声波探伤仪检定装置等设备</w:t>
            </w:r>
          </w:p>
        </w:tc>
        <w:tc>
          <w:tcPr>
            <w:tcW w:w="753" w:type="pct"/>
            <w:vAlign w:val="center"/>
          </w:tcPr>
          <w:p w14:paraId="096EAD05">
            <w:pPr>
              <w:spacing w:line="324" w:lineRule="auto"/>
              <w:jc w:val="center"/>
              <w:rPr>
                <w:rFonts w:ascii="宋体" w:hAnsi="宋体" w:eastAsia="宋体" w:cs="宋体"/>
                <w:sz w:val="28"/>
                <w:szCs w:val="28"/>
                <w:lang w:eastAsia="zh-CN"/>
              </w:rPr>
            </w:pPr>
            <w:r>
              <w:rPr>
                <w:rFonts w:hint="eastAsia" w:ascii="宋体" w:hAnsi="宋体" w:eastAsia="宋体" w:cs="宋体"/>
                <w:kern w:val="2"/>
                <w:sz w:val="28"/>
                <w:szCs w:val="28"/>
                <w:lang w:val="zh-CN" w:eastAsia="zh-CN" w:bidi="ar-SA"/>
              </w:rPr>
              <w:t>1</w:t>
            </w:r>
            <w:r>
              <w:rPr>
                <w:rFonts w:hint="eastAsia" w:ascii="宋体" w:hAnsi="宋体" w:eastAsia="宋体" w:cs="宋体"/>
                <w:kern w:val="2"/>
                <w:sz w:val="28"/>
                <w:szCs w:val="28"/>
                <w:lang w:val="en-US" w:eastAsia="zh-CN" w:bidi="ar-SA"/>
              </w:rPr>
              <w:t>批</w:t>
            </w:r>
          </w:p>
        </w:tc>
        <w:tc>
          <w:tcPr>
            <w:tcW w:w="872" w:type="pct"/>
            <w:vMerge w:val="continue"/>
            <w:tcBorders/>
            <w:vAlign w:val="center"/>
          </w:tcPr>
          <w:p w14:paraId="0C526345">
            <w:pPr>
              <w:pStyle w:val="9"/>
              <w:spacing w:line="324" w:lineRule="auto"/>
              <w:jc w:val="center"/>
              <w:rPr>
                <w:rFonts w:ascii="宋体" w:hAnsi="宋体" w:eastAsia="宋体" w:cs="宋体"/>
                <w:sz w:val="28"/>
                <w:szCs w:val="28"/>
                <w:lang w:eastAsia="zh-CN"/>
              </w:rPr>
            </w:pPr>
          </w:p>
        </w:tc>
      </w:tr>
      <w:tr w14:paraId="7E325546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12" w:hRule="atLeast"/>
          <w:jc w:val="center"/>
        </w:trPr>
        <w:tc>
          <w:tcPr>
            <w:tcW w:w="825" w:type="pct"/>
            <w:shd w:val="clear"/>
            <w:vAlign w:val="center"/>
          </w:tcPr>
          <w:p w14:paraId="6B3C4F5C">
            <w:pPr>
              <w:pStyle w:val="12"/>
              <w:spacing w:line="324" w:lineRule="auto"/>
              <w:jc w:val="center"/>
              <w:rPr>
                <w:rFonts w:hint="eastAsia" w:ascii="宋体" w:hAnsi="宋体" w:eastAsia="宋体" w:cs="宋体"/>
                <w:sz w:val="28"/>
                <w:szCs w:val="28"/>
                <w:lang w:val="zh-CN" w:eastAsia="zh-Hans" w:bidi="ar-SA"/>
              </w:rPr>
            </w:pPr>
            <w:r>
              <w:rPr>
                <w:rFonts w:hint="eastAsia"/>
                <w:sz w:val="28"/>
                <w:szCs w:val="28"/>
                <w:lang w:val="en-US" w:eastAsia="zh-CN"/>
              </w:rPr>
              <w:t>13</w:t>
            </w:r>
          </w:p>
        </w:tc>
        <w:tc>
          <w:tcPr>
            <w:tcW w:w="2548" w:type="pct"/>
            <w:shd w:val="clear"/>
            <w:vAlign w:val="center"/>
          </w:tcPr>
          <w:p w14:paraId="7D6A119B">
            <w:pPr>
              <w:pStyle w:val="9"/>
              <w:jc w:val="center"/>
              <w:rPr>
                <w:rFonts w:hint="eastAsia" w:ascii="宋体" w:hAnsi="宋体" w:eastAsia="宋体" w:cs="宋体"/>
                <w:kern w:val="2"/>
                <w:sz w:val="28"/>
                <w:szCs w:val="28"/>
                <w:lang w:val="en-US" w:eastAsia="zh-Hans" w:bidi="ar-SA"/>
              </w:rPr>
            </w:pPr>
            <w:r>
              <w:rPr>
                <w:rFonts w:hint="eastAsia" w:ascii="宋体" w:hAnsi="宋体" w:eastAsia="宋体" w:cs="宋体"/>
                <w:kern w:val="2"/>
                <w:sz w:val="28"/>
                <w:szCs w:val="28"/>
                <w:lang w:val="en-US" w:eastAsia="zh-Hans" w:bidi="ar-SA"/>
              </w:rPr>
              <w:t>温度计校准装置等设备</w:t>
            </w:r>
          </w:p>
        </w:tc>
        <w:tc>
          <w:tcPr>
            <w:tcW w:w="753" w:type="pct"/>
            <w:vAlign w:val="center"/>
          </w:tcPr>
          <w:p w14:paraId="0A1C0619">
            <w:pPr>
              <w:spacing w:line="324" w:lineRule="auto"/>
              <w:jc w:val="center"/>
              <w:rPr>
                <w:rFonts w:ascii="宋体" w:hAnsi="宋体" w:eastAsia="宋体" w:cs="宋体"/>
                <w:sz w:val="28"/>
                <w:szCs w:val="28"/>
                <w:lang w:eastAsia="zh-CN"/>
              </w:rPr>
            </w:pPr>
            <w:r>
              <w:rPr>
                <w:rFonts w:hint="eastAsia" w:ascii="宋体" w:hAnsi="宋体" w:eastAsia="宋体" w:cs="宋体"/>
                <w:kern w:val="2"/>
                <w:sz w:val="28"/>
                <w:szCs w:val="28"/>
                <w:lang w:val="zh-CN" w:eastAsia="zh-CN" w:bidi="ar-SA"/>
              </w:rPr>
              <w:t>1</w:t>
            </w:r>
            <w:r>
              <w:rPr>
                <w:rFonts w:hint="eastAsia" w:ascii="宋体" w:hAnsi="宋体" w:eastAsia="宋体" w:cs="宋体"/>
                <w:kern w:val="2"/>
                <w:sz w:val="28"/>
                <w:szCs w:val="28"/>
                <w:lang w:val="en-US" w:eastAsia="zh-CN" w:bidi="ar-SA"/>
              </w:rPr>
              <w:t>批</w:t>
            </w:r>
          </w:p>
        </w:tc>
        <w:tc>
          <w:tcPr>
            <w:tcW w:w="872" w:type="pct"/>
            <w:vMerge w:val="continue"/>
            <w:tcBorders/>
            <w:vAlign w:val="center"/>
          </w:tcPr>
          <w:p w14:paraId="6B700D32">
            <w:pPr>
              <w:pStyle w:val="9"/>
              <w:spacing w:line="324" w:lineRule="auto"/>
              <w:jc w:val="center"/>
              <w:rPr>
                <w:rFonts w:ascii="宋体" w:hAnsi="宋体" w:eastAsia="宋体" w:cs="宋体"/>
                <w:sz w:val="28"/>
                <w:szCs w:val="28"/>
                <w:lang w:eastAsia="zh-CN"/>
              </w:rPr>
            </w:pPr>
          </w:p>
        </w:tc>
      </w:tr>
    </w:tbl>
    <w:p w14:paraId="17E57501">
      <w:pPr>
        <w:rPr>
          <w:rFonts w:hint="eastAsia" w:asciiTheme="minorEastAsia" w:hAnsiTheme="minorEastAsia" w:eastAsiaTheme="minorEastAsia" w:cstheme="minorEastAsia"/>
          <w:szCs w:val="28"/>
        </w:rPr>
      </w:pPr>
    </w:p>
    <w:sectPr>
      <w:pgSz w:w="11906" w:h="16838"/>
      <w:pgMar w:top="1417" w:right="1417" w:bottom="1417" w:left="1417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1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324" w:lineRule="auto"/>
      </w:pPr>
      <w:r>
        <w:separator/>
      </w:r>
    </w:p>
  </w:footnote>
  <w:footnote w:type="continuationSeparator" w:id="1">
    <w:p>
      <w:pPr>
        <w:spacing w:line="324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A8C1ABE"/>
    <w:rsid w:val="003A3F5A"/>
    <w:rsid w:val="003A6504"/>
    <w:rsid w:val="00523331"/>
    <w:rsid w:val="00662CBF"/>
    <w:rsid w:val="00C6469B"/>
    <w:rsid w:val="00E13532"/>
    <w:rsid w:val="00EE6F41"/>
    <w:rsid w:val="127E1741"/>
    <w:rsid w:val="1770383D"/>
    <w:rsid w:val="18105A76"/>
    <w:rsid w:val="2FE83E90"/>
    <w:rsid w:val="6ADE6508"/>
    <w:rsid w:val="7A8C1A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semiHidden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spacing w:line="324" w:lineRule="auto"/>
      <w:jc w:val="both"/>
    </w:pPr>
    <w:rPr>
      <w:rFonts w:ascii="仿宋" w:hAnsi="仿宋" w:eastAsia="仿宋" w:cs="仿宋"/>
      <w:kern w:val="2"/>
      <w:sz w:val="28"/>
      <w:szCs w:val="24"/>
      <w:lang w:val="en-US" w:eastAsia="zh-CN" w:bidi="ar-SA"/>
    </w:rPr>
  </w:style>
  <w:style w:type="character" w:default="1" w:styleId="7">
    <w:name w:val="Default Paragraph Font"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Indent"/>
    <w:basedOn w:val="1"/>
    <w:qFormat/>
    <w:uiPriority w:val="0"/>
    <w:pPr>
      <w:ind w:firstLine="420" w:firstLineChars="200"/>
    </w:pPr>
  </w:style>
  <w:style w:type="paragraph" w:styleId="3">
    <w:name w:val="Plain Text"/>
    <w:basedOn w:val="1"/>
    <w:link w:val="8"/>
    <w:qFormat/>
    <w:uiPriority w:val="0"/>
    <w:rPr>
      <w:szCs w:val="21"/>
    </w:rPr>
  </w:style>
  <w:style w:type="paragraph" w:styleId="4">
    <w:name w:val="footer"/>
    <w:basedOn w:val="1"/>
    <w:link w:val="11"/>
    <w:qFormat/>
    <w:uiPriority w:val="0"/>
    <w:pPr>
      <w:tabs>
        <w:tab w:val="center" w:pos="4153"/>
        <w:tab w:val="right" w:pos="8306"/>
      </w:tabs>
      <w:snapToGrid w:val="0"/>
      <w:spacing w:line="240" w:lineRule="auto"/>
      <w:jc w:val="left"/>
    </w:pPr>
    <w:rPr>
      <w:sz w:val="18"/>
      <w:szCs w:val="18"/>
    </w:rPr>
  </w:style>
  <w:style w:type="paragraph" w:styleId="5">
    <w:name w:val="header"/>
    <w:basedOn w:val="1"/>
    <w:link w:val="10"/>
    <w:qFormat/>
    <w:uiPriority w:val="0"/>
    <w:pPr>
      <w:tabs>
        <w:tab w:val="center" w:pos="4153"/>
        <w:tab w:val="right" w:pos="8306"/>
      </w:tabs>
      <w:snapToGrid w:val="0"/>
      <w:spacing w:line="240" w:lineRule="auto"/>
      <w:jc w:val="center"/>
    </w:pPr>
    <w:rPr>
      <w:sz w:val="18"/>
      <w:szCs w:val="18"/>
    </w:rPr>
  </w:style>
  <w:style w:type="character" w:customStyle="1" w:styleId="8">
    <w:name w:val="纯文本 字符"/>
    <w:link w:val="3"/>
    <w:qFormat/>
    <w:locked/>
    <w:uiPriority w:val="99"/>
    <w:rPr>
      <w:rFonts w:ascii="仿宋" w:hAnsi="仿宋" w:eastAsia="仿宋"/>
      <w:kern w:val="2"/>
      <w:sz w:val="32"/>
      <w:szCs w:val="21"/>
    </w:rPr>
  </w:style>
  <w:style w:type="paragraph" w:customStyle="1" w:styleId="9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Hans" w:bidi="ar-SA"/>
    </w:rPr>
  </w:style>
  <w:style w:type="character" w:customStyle="1" w:styleId="10">
    <w:name w:val="页眉 字符"/>
    <w:basedOn w:val="7"/>
    <w:link w:val="5"/>
    <w:qFormat/>
    <w:uiPriority w:val="0"/>
    <w:rPr>
      <w:rFonts w:ascii="仿宋" w:hAnsi="仿宋" w:eastAsia="仿宋" w:cs="仿宋"/>
      <w:kern w:val="2"/>
      <w:sz w:val="18"/>
      <w:szCs w:val="18"/>
    </w:rPr>
  </w:style>
  <w:style w:type="character" w:customStyle="1" w:styleId="11">
    <w:name w:val="页脚 字符"/>
    <w:basedOn w:val="7"/>
    <w:link w:val="4"/>
    <w:qFormat/>
    <w:uiPriority w:val="0"/>
    <w:rPr>
      <w:rFonts w:ascii="仿宋" w:hAnsi="仿宋" w:eastAsia="仿宋" w:cs="仿宋"/>
      <w:kern w:val="2"/>
      <w:sz w:val="18"/>
      <w:szCs w:val="18"/>
    </w:rPr>
  </w:style>
  <w:style w:type="paragraph" w:customStyle="1" w:styleId="12">
    <w:name w:val="样式"/>
    <w:qFormat/>
    <w:uiPriority w:val="0"/>
    <w:pPr>
      <w:widowControl w:val="0"/>
      <w:autoSpaceDE w:val="0"/>
      <w:autoSpaceDN w:val="0"/>
      <w:adjustRightInd w:val="0"/>
    </w:pPr>
    <w:rPr>
      <w:rFonts w:ascii="宋体" w:hAnsi="宋体" w:eastAsia="宋体" w:cs="宋体"/>
      <w:sz w:val="24"/>
      <w:szCs w:val="24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877</Words>
  <Characters>885</Characters>
  <Lines>1</Lines>
  <Paragraphs>1</Paragraphs>
  <TotalTime>0</TotalTime>
  <ScaleCrop>false</ScaleCrop>
  <LinksUpToDate>false</LinksUpToDate>
  <CharactersWithSpaces>885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2026-04-29T13:09:00Z</dcterms:created>
  <dc:creator>1</dc:creator>
  <cp:lastModifiedBy>H</cp:lastModifiedBy>
  <dcterms:modified xsi:type="dcterms:W3CDTF">2026-05-28T15:09:11Z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ICV">
    <vt:lpwstr>9D99C55DF7834B53B78415D04D98B0B1_13</vt:lpwstr>
  </property>
  <property fmtid="{D5CDD505-2E9C-101B-9397-08002B2CF9AE}" pid="4" name="KSOTemplateDocerSaveRecord">
    <vt:lpwstr>eyJoZGlkIjoiNWVlZWQ2MGQxNmE1ODQyMmRiYjA3Yzk4MTMyMWVjOGQiLCJ1c2VySWQiOiI1MjUwOTc0MjQifQ==</vt:lpwstr>
  </property>
</Properties>
</file>