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F1B02">
      <w:pPr>
        <w:jc w:val="center"/>
        <w:rPr>
          <w:rFonts w:hint="eastAsia" w:ascii="仿宋" w:hAnsi="仿宋" w:eastAsia="仿宋" w:cs="仿宋"/>
          <w:b/>
          <w:color w:val="auto"/>
          <w:spacing w:val="4"/>
          <w:sz w:val="52"/>
          <w:szCs w:val="48"/>
          <w:highlight w:val="none"/>
        </w:rPr>
      </w:pPr>
      <w:r>
        <w:rPr>
          <w:rFonts w:hint="eastAsia" w:ascii="仿宋" w:hAnsi="仿宋" w:eastAsia="仿宋" w:cs="仿宋"/>
          <w:b/>
          <w:color w:val="auto"/>
          <w:spacing w:val="4"/>
          <w:sz w:val="52"/>
          <w:szCs w:val="48"/>
          <w:highlight w:val="none"/>
        </w:rPr>
        <w:t>西安市中心医院货物类</w:t>
      </w:r>
    </w:p>
    <w:p w14:paraId="3BD31942">
      <w:pPr>
        <w:ind w:firstLine="3233" w:firstLineChars="350"/>
        <w:rPr>
          <w:rFonts w:hint="eastAsia" w:ascii="仿宋" w:hAnsi="仿宋" w:eastAsia="仿宋" w:cs="仿宋"/>
          <w:b/>
          <w:color w:val="auto"/>
          <w:spacing w:val="-20"/>
          <w:sz w:val="96"/>
          <w:szCs w:val="58"/>
          <w:highlight w:val="none"/>
        </w:rPr>
      </w:pPr>
    </w:p>
    <w:p w14:paraId="60C66FB7">
      <w:pPr>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合  同</w:t>
      </w:r>
    </w:p>
    <w:p w14:paraId="52750563">
      <w:pPr>
        <w:jc w:val="center"/>
        <w:rPr>
          <w:rFonts w:hint="eastAsia" w:ascii="仿宋" w:hAnsi="仿宋" w:eastAsia="仿宋" w:cs="仿宋"/>
          <w:b/>
          <w:color w:val="auto"/>
          <w:sz w:val="72"/>
          <w:szCs w:val="72"/>
          <w:highlight w:val="none"/>
        </w:rPr>
      </w:pPr>
    </w:p>
    <w:p w14:paraId="0904A94E">
      <w:pPr>
        <w:ind w:firstLine="3080" w:firstLineChars="1100"/>
        <w:rPr>
          <w:rFonts w:hint="eastAsia" w:ascii="仿宋" w:hAnsi="仿宋" w:eastAsia="仿宋" w:cs="仿宋"/>
          <w:color w:val="auto"/>
          <w:sz w:val="28"/>
          <w:szCs w:val="30"/>
          <w:highlight w:val="none"/>
        </w:rPr>
      </w:pPr>
    </w:p>
    <w:p w14:paraId="475257F2">
      <w:pPr>
        <w:ind w:firstLine="280" w:firstLineChars="1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30"/>
          <w:highlight w:val="none"/>
        </w:rPr>
        <w:t xml:space="preserve">项目名称： </w:t>
      </w:r>
      <w:r>
        <w:rPr>
          <w:rFonts w:hint="eastAsia" w:ascii="仿宋" w:hAnsi="仿宋" w:eastAsia="仿宋" w:cs="仿宋"/>
          <w:color w:val="auto"/>
          <w:sz w:val="28"/>
          <w:szCs w:val="30"/>
          <w:highlight w:val="none"/>
          <w:u w:val="single"/>
        </w:rPr>
        <w:t xml:space="preserve">                                 </w:t>
      </w:r>
      <w:r>
        <w:rPr>
          <w:rFonts w:hint="eastAsia" w:ascii="仿宋" w:hAnsi="仿宋" w:eastAsia="仿宋" w:cs="仿宋"/>
          <w:color w:val="auto"/>
          <w:sz w:val="28"/>
          <w:szCs w:val="28"/>
          <w:highlight w:val="none"/>
          <w:u w:val="single"/>
        </w:rPr>
        <w:t xml:space="preserve"> </w:t>
      </w:r>
    </w:p>
    <w:p w14:paraId="2A11034D">
      <w:pPr>
        <w:ind w:firstLine="280" w:firstLineChars="1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项目编号： </w:t>
      </w:r>
      <w:r>
        <w:rPr>
          <w:rFonts w:hint="eastAsia" w:ascii="仿宋" w:hAnsi="仿宋" w:eastAsia="仿宋" w:cs="仿宋"/>
          <w:color w:val="auto"/>
          <w:sz w:val="28"/>
          <w:szCs w:val="28"/>
          <w:highlight w:val="none"/>
          <w:u w:val="single"/>
        </w:rPr>
        <w:t xml:space="preserve">                                  </w:t>
      </w:r>
    </w:p>
    <w:p w14:paraId="564B8DBB">
      <w:pPr>
        <w:jc w:val="center"/>
        <w:rPr>
          <w:rFonts w:hint="eastAsia" w:ascii="仿宋" w:hAnsi="仿宋" w:eastAsia="仿宋" w:cs="仿宋"/>
          <w:color w:val="auto"/>
          <w:sz w:val="28"/>
          <w:szCs w:val="30"/>
          <w:highlight w:val="none"/>
        </w:rPr>
      </w:pPr>
    </w:p>
    <w:p w14:paraId="5C2760E4">
      <w:pPr>
        <w:jc w:val="center"/>
        <w:rPr>
          <w:rFonts w:hint="eastAsia" w:ascii="仿宋" w:hAnsi="仿宋" w:eastAsia="仿宋" w:cs="仿宋"/>
          <w:color w:val="auto"/>
          <w:sz w:val="28"/>
          <w:szCs w:val="30"/>
          <w:highlight w:val="none"/>
        </w:rPr>
      </w:pPr>
    </w:p>
    <w:p w14:paraId="7CE23FAD">
      <w:pPr>
        <w:jc w:val="center"/>
        <w:rPr>
          <w:rFonts w:hint="eastAsia" w:ascii="仿宋" w:hAnsi="仿宋" w:eastAsia="仿宋" w:cs="仿宋"/>
          <w:color w:val="auto"/>
          <w:sz w:val="28"/>
          <w:szCs w:val="30"/>
          <w:highlight w:val="none"/>
        </w:rPr>
      </w:pPr>
    </w:p>
    <w:p w14:paraId="54676304">
      <w:pPr>
        <w:ind w:firstLine="2240" w:firstLineChars="7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  方：西安市中心医院</w:t>
      </w:r>
    </w:p>
    <w:p w14:paraId="22D12741">
      <w:pPr>
        <w:tabs>
          <w:tab w:val="left" w:pos="480"/>
        </w:tabs>
        <w:ind w:firstLine="2240" w:firstLineChars="7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乙  方：                          </w:t>
      </w:r>
    </w:p>
    <w:p w14:paraId="2D1FFA38">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3B604626">
      <w:pPr>
        <w:rPr>
          <w:rFonts w:hint="eastAsia" w:ascii="仿宋" w:hAnsi="仿宋" w:eastAsia="仿宋" w:cs="仿宋"/>
          <w:color w:val="auto"/>
          <w:sz w:val="32"/>
          <w:szCs w:val="32"/>
          <w:highlight w:val="none"/>
        </w:rPr>
      </w:pPr>
    </w:p>
    <w:p w14:paraId="10182BC3">
      <w:pPr>
        <w:rPr>
          <w:rFonts w:hint="eastAsia" w:ascii="仿宋" w:hAnsi="仿宋" w:eastAsia="仿宋" w:cs="仿宋"/>
          <w:color w:val="auto"/>
          <w:sz w:val="32"/>
          <w:szCs w:val="32"/>
          <w:highlight w:val="none"/>
        </w:rPr>
      </w:pPr>
    </w:p>
    <w:p w14:paraId="10185CAC">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二O二</w:t>
      </w:r>
      <w:r>
        <w:rPr>
          <w:rFonts w:hint="eastAsia" w:ascii="仿宋" w:hAnsi="仿宋" w:eastAsia="仿宋" w:cs="仿宋"/>
          <w:color w:val="auto"/>
          <w:sz w:val="32"/>
          <w:szCs w:val="32"/>
          <w:highlight w:val="none"/>
          <w:lang w:eastAsia="zh-CN"/>
        </w:rPr>
        <w:t>六</w:t>
      </w:r>
      <w:r>
        <w:rPr>
          <w:rFonts w:hint="eastAsia" w:ascii="仿宋" w:hAnsi="仿宋" w:eastAsia="仿宋" w:cs="仿宋"/>
          <w:color w:val="auto"/>
          <w:sz w:val="32"/>
          <w:szCs w:val="32"/>
          <w:highlight w:val="none"/>
        </w:rPr>
        <w:t>年   月</w:t>
      </w:r>
    </w:p>
    <w:p w14:paraId="6482DAB0">
      <w:pPr>
        <w:rPr>
          <w:rFonts w:hint="eastAsia" w:ascii="仿宋" w:hAnsi="仿宋" w:eastAsia="仿宋" w:cs="仿宋"/>
          <w:sz w:val="24"/>
          <w:szCs w:val="24"/>
        </w:rPr>
      </w:pPr>
      <w:r>
        <w:rPr>
          <w:rFonts w:hint="eastAsia" w:ascii="仿宋" w:hAnsi="仿宋" w:eastAsia="仿宋" w:cs="仿宋"/>
          <w:sz w:val="24"/>
          <w:szCs w:val="24"/>
        </w:rPr>
        <w:br w:type="page"/>
      </w:r>
    </w:p>
    <w:p w14:paraId="5C19798B">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甲方：西安市中心医院 </w:t>
      </w:r>
    </w:p>
    <w:p w14:paraId="36B72F30">
      <w:pPr>
        <w:spacing w:line="360" w:lineRule="auto"/>
        <w:rPr>
          <w:rFonts w:hint="eastAsia" w:ascii="仿宋" w:hAnsi="仿宋" w:eastAsia="仿宋" w:cs="仿宋"/>
          <w:sz w:val="24"/>
          <w:szCs w:val="24"/>
        </w:rPr>
      </w:pPr>
      <w:r>
        <w:rPr>
          <w:rFonts w:hint="eastAsia" w:ascii="仿宋" w:hAnsi="仿宋" w:eastAsia="仿宋" w:cs="仿宋"/>
          <w:sz w:val="24"/>
          <w:szCs w:val="24"/>
        </w:rPr>
        <w:t>乙方：</w:t>
      </w:r>
    </w:p>
    <w:p w14:paraId="7208DF9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就甲方所需货物，按照政府采购程序组织</w:t>
      </w:r>
      <w:r>
        <w:rPr>
          <w:rFonts w:hint="eastAsia" w:ascii="仿宋" w:hAnsi="仿宋" w:eastAsia="仿宋" w:cs="仿宋"/>
          <w:sz w:val="24"/>
          <w:szCs w:val="24"/>
          <w:u w:val="none"/>
          <w:lang w:eastAsia="zh-CN"/>
        </w:rPr>
        <w:t>招标</w:t>
      </w:r>
      <w:r>
        <w:rPr>
          <w:rFonts w:hint="eastAsia" w:ascii="仿宋" w:hAnsi="仿宋" w:eastAsia="仿宋" w:cs="仿宋"/>
          <w:sz w:val="24"/>
          <w:szCs w:val="24"/>
        </w:rPr>
        <w:t>，确定乙方为成交供应商。依据《中华人民共和国政府采购法》、《中华人民共和国招标投标法》、《中华人民共和民法典》，经甲、乙双方协商、确认，达成如下条款。</w:t>
      </w:r>
    </w:p>
    <w:p w14:paraId="4C696A72">
      <w:pPr>
        <w:tabs>
          <w:tab w:val="left" w:pos="480"/>
        </w:tabs>
        <w:ind w:firstLine="482" w:firstLineChars="200"/>
        <w:rPr>
          <w:rFonts w:hint="eastAsia" w:ascii="仿宋" w:hAnsi="仿宋" w:eastAsia="仿宋" w:cs="仿宋"/>
          <w:b/>
          <w:sz w:val="24"/>
          <w:szCs w:val="24"/>
        </w:rPr>
      </w:pPr>
      <w:r>
        <w:rPr>
          <w:rFonts w:hint="eastAsia" w:ascii="仿宋" w:hAnsi="仿宋" w:eastAsia="仿宋" w:cs="仿宋"/>
          <w:b/>
          <w:sz w:val="24"/>
          <w:szCs w:val="24"/>
        </w:rPr>
        <w:t>一、合同标的物内容及数量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118"/>
        <w:gridCol w:w="1043"/>
        <w:gridCol w:w="1081"/>
        <w:gridCol w:w="946"/>
        <w:gridCol w:w="811"/>
        <w:gridCol w:w="1018"/>
        <w:gridCol w:w="966"/>
        <w:gridCol w:w="844"/>
      </w:tblGrid>
      <w:tr w14:paraId="0F51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08" w:type="pct"/>
            <w:vAlign w:val="center"/>
          </w:tcPr>
          <w:p w14:paraId="22B384FF">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序号</w:t>
            </w:r>
          </w:p>
        </w:tc>
        <w:tc>
          <w:tcPr>
            <w:tcW w:w="656" w:type="pct"/>
            <w:vAlign w:val="center"/>
          </w:tcPr>
          <w:p w14:paraId="32891686">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名称</w:t>
            </w:r>
          </w:p>
        </w:tc>
        <w:tc>
          <w:tcPr>
            <w:tcW w:w="612" w:type="pct"/>
            <w:vAlign w:val="center"/>
          </w:tcPr>
          <w:p w14:paraId="075BECCC">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规格参数</w:t>
            </w:r>
          </w:p>
        </w:tc>
        <w:tc>
          <w:tcPr>
            <w:tcW w:w="634" w:type="pct"/>
            <w:vAlign w:val="center"/>
          </w:tcPr>
          <w:p w14:paraId="5D108863">
            <w:pPr>
              <w:tabs>
                <w:tab w:val="left" w:pos="480"/>
              </w:tabs>
              <w:spacing w:line="240" w:lineRule="exact"/>
              <w:jc w:val="center"/>
              <w:rPr>
                <w:rFonts w:hint="eastAsia" w:ascii="仿宋" w:hAnsi="仿宋" w:eastAsia="仿宋" w:cs="仿宋"/>
                <w:sz w:val="24"/>
                <w:szCs w:val="24"/>
              </w:rPr>
            </w:pPr>
            <w:r>
              <w:rPr>
                <w:rFonts w:hint="eastAsia" w:ascii="仿宋" w:hAnsi="仿宋" w:eastAsia="仿宋" w:cs="仿宋"/>
                <w:sz w:val="24"/>
                <w:szCs w:val="24"/>
              </w:rPr>
              <w:t>生产</w:t>
            </w:r>
          </w:p>
          <w:p w14:paraId="2E6EAF0D">
            <w:pPr>
              <w:tabs>
                <w:tab w:val="left" w:pos="480"/>
              </w:tabs>
              <w:spacing w:line="240" w:lineRule="exact"/>
              <w:jc w:val="center"/>
              <w:rPr>
                <w:rFonts w:hint="eastAsia" w:ascii="仿宋" w:hAnsi="仿宋" w:eastAsia="仿宋" w:cs="仿宋"/>
                <w:sz w:val="24"/>
                <w:szCs w:val="24"/>
              </w:rPr>
            </w:pPr>
            <w:r>
              <w:rPr>
                <w:rFonts w:hint="eastAsia" w:ascii="仿宋" w:hAnsi="仿宋" w:eastAsia="仿宋" w:cs="仿宋"/>
                <w:sz w:val="24"/>
                <w:szCs w:val="24"/>
              </w:rPr>
              <w:t>厂家</w:t>
            </w:r>
          </w:p>
        </w:tc>
        <w:tc>
          <w:tcPr>
            <w:tcW w:w="555" w:type="pct"/>
            <w:vAlign w:val="center"/>
          </w:tcPr>
          <w:p w14:paraId="545491FF">
            <w:pPr>
              <w:tabs>
                <w:tab w:val="left" w:pos="480"/>
              </w:tabs>
              <w:spacing w:line="240" w:lineRule="exact"/>
              <w:jc w:val="center"/>
              <w:rPr>
                <w:rFonts w:hint="eastAsia" w:ascii="仿宋" w:hAnsi="仿宋" w:eastAsia="仿宋" w:cs="仿宋"/>
                <w:sz w:val="24"/>
                <w:szCs w:val="24"/>
              </w:rPr>
            </w:pPr>
            <w:r>
              <w:rPr>
                <w:rFonts w:hint="eastAsia" w:ascii="仿宋" w:hAnsi="仿宋" w:eastAsia="仿宋" w:cs="仿宋"/>
                <w:sz w:val="24"/>
                <w:szCs w:val="24"/>
              </w:rPr>
              <w:t>计量</w:t>
            </w:r>
          </w:p>
          <w:p w14:paraId="39802DDC">
            <w:pPr>
              <w:tabs>
                <w:tab w:val="left" w:pos="480"/>
              </w:tabs>
              <w:spacing w:line="240" w:lineRule="exact"/>
              <w:jc w:val="center"/>
              <w:rPr>
                <w:rFonts w:hint="eastAsia" w:ascii="仿宋" w:hAnsi="仿宋" w:eastAsia="仿宋" w:cs="仿宋"/>
                <w:sz w:val="24"/>
                <w:szCs w:val="24"/>
              </w:rPr>
            </w:pPr>
            <w:r>
              <w:rPr>
                <w:rFonts w:hint="eastAsia" w:ascii="仿宋" w:hAnsi="仿宋" w:eastAsia="仿宋" w:cs="仿宋"/>
                <w:sz w:val="24"/>
                <w:szCs w:val="24"/>
              </w:rPr>
              <w:t>单位</w:t>
            </w:r>
          </w:p>
        </w:tc>
        <w:tc>
          <w:tcPr>
            <w:tcW w:w="476" w:type="pct"/>
            <w:vAlign w:val="center"/>
          </w:tcPr>
          <w:p w14:paraId="7A6D3D35">
            <w:pPr>
              <w:tabs>
                <w:tab w:val="left" w:pos="480"/>
              </w:tabs>
              <w:spacing w:line="240" w:lineRule="exact"/>
              <w:jc w:val="center"/>
              <w:rPr>
                <w:rFonts w:hint="eastAsia" w:ascii="仿宋" w:hAnsi="仿宋" w:eastAsia="仿宋" w:cs="仿宋"/>
                <w:sz w:val="24"/>
                <w:szCs w:val="24"/>
              </w:rPr>
            </w:pPr>
            <w:r>
              <w:rPr>
                <w:rFonts w:hint="eastAsia" w:ascii="仿宋" w:hAnsi="仿宋" w:eastAsia="仿宋" w:cs="仿宋"/>
                <w:sz w:val="24"/>
                <w:szCs w:val="24"/>
              </w:rPr>
              <w:t>数量</w:t>
            </w:r>
          </w:p>
        </w:tc>
        <w:tc>
          <w:tcPr>
            <w:tcW w:w="597" w:type="pct"/>
            <w:vAlign w:val="center"/>
          </w:tcPr>
          <w:p w14:paraId="56902260">
            <w:pPr>
              <w:tabs>
                <w:tab w:val="left" w:pos="480"/>
              </w:tabs>
              <w:spacing w:line="280" w:lineRule="exact"/>
              <w:jc w:val="center"/>
              <w:rPr>
                <w:rFonts w:hint="eastAsia" w:ascii="仿宋" w:hAnsi="仿宋" w:eastAsia="仿宋" w:cs="仿宋"/>
                <w:sz w:val="24"/>
                <w:szCs w:val="24"/>
              </w:rPr>
            </w:pPr>
            <w:r>
              <w:rPr>
                <w:rFonts w:hint="eastAsia" w:ascii="仿宋" w:hAnsi="仿宋" w:eastAsia="仿宋" w:cs="仿宋"/>
                <w:sz w:val="24"/>
                <w:szCs w:val="24"/>
              </w:rPr>
              <w:t>单价</w:t>
            </w:r>
          </w:p>
          <w:p w14:paraId="110F4553">
            <w:pPr>
              <w:tabs>
                <w:tab w:val="left" w:pos="480"/>
              </w:tabs>
              <w:spacing w:line="280" w:lineRule="exact"/>
              <w:jc w:val="center"/>
              <w:rPr>
                <w:rFonts w:hint="eastAsia" w:ascii="仿宋" w:hAnsi="仿宋" w:eastAsia="仿宋" w:cs="仿宋"/>
                <w:sz w:val="24"/>
                <w:szCs w:val="24"/>
              </w:rPr>
            </w:pPr>
            <w:r>
              <w:rPr>
                <w:rFonts w:hint="eastAsia" w:ascii="仿宋" w:hAnsi="仿宋" w:eastAsia="仿宋" w:cs="仿宋"/>
                <w:sz w:val="24"/>
                <w:szCs w:val="24"/>
              </w:rPr>
              <w:t>（万元）</w:t>
            </w:r>
          </w:p>
        </w:tc>
        <w:tc>
          <w:tcPr>
            <w:tcW w:w="567" w:type="pct"/>
            <w:vAlign w:val="center"/>
          </w:tcPr>
          <w:p w14:paraId="3F3A1FB9">
            <w:pPr>
              <w:tabs>
                <w:tab w:val="left" w:pos="480"/>
              </w:tabs>
              <w:spacing w:line="280" w:lineRule="exact"/>
              <w:jc w:val="center"/>
              <w:rPr>
                <w:rFonts w:hint="eastAsia" w:ascii="仿宋" w:hAnsi="仿宋" w:eastAsia="仿宋" w:cs="仿宋"/>
                <w:sz w:val="24"/>
                <w:szCs w:val="24"/>
              </w:rPr>
            </w:pPr>
            <w:r>
              <w:rPr>
                <w:rFonts w:hint="eastAsia" w:ascii="仿宋" w:hAnsi="仿宋" w:eastAsia="仿宋" w:cs="仿宋"/>
                <w:sz w:val="24"/>
                <w:szCs w:val="24"/>
              </w:rPr>
              <w:t>金额</w:t>
            </w:r>
          </w:p>
          <w:p w14:paraId="6FF457B0">
            <w:pPr>
              <w:tabs>
                <w:tab w:val="left" w:pos="480"/>
              </w:tabs>
              <w:spacing w:line="280" w:lineRule="exact"/>
              <w:jc w:val="center"/>
              <w:rPr>
                <w:rFonts w:hint="eastAsia" w:ascii="仿宋" w:hAnsi="仿宋" w:eastAsia="仿宋" w:cs="仿宋"/>
                <w:sz w:val="24"/>
                <w:szCs w:val="24"/>
              </w:rPr>
            </w:pPr>
            <w:r>
              <w:rPr>
                <w:rFonts w:hint="eastAsia" w:ascii="仿宋" w:hAnsi="仿宋" w:eastAsia="仿宋" w:cs="仿宋"/>
                <w:sz w:val="24"/>
                <w:szCs w:val="24"/>
              </w:rPr>
              <w:t>（万元）</w:t>
            </w:r>
          </w:p>
        </w:tc>
        <w:tc>
          <w:tcPr>
            <w:tcW w:w="495" w:type="pct"/>
            <w:vAlign w:val="center"/>
          </w:tcPr>
          <w:p w14:paraId="48D4015C">
            <w:pPr>
              <w:tabs>
                <w:tab w:val="left" w:pos="480"/>
              </w:tabs>
              <w:spacing w:line="280" w:lineRule="exact"/>
              <w:jc w:val="center"/>
              <w:rPr>
                <w:rFonts w:hint="eastAsia" w:ascii="仿宋" w:hAnsi="仿宋" w:eastAsia="仿宋" w:cs="仿宋"/>
                <w:sz w:val="24"/>
                <w:szCs w:val="24"/>
              </w:rPr>
            </w:pPr>
            <w:r>
              <w:rPr>
                <w:rFonts w:hint="eastAsia" w:ascii="仿宋" w:hAnsi="仿宋" w:eastAsia="仿宋" w:cs="仿宋"/>
                <w:sz w:val="24"/>
                <w:szCs w:val="24"/>
              </w:rPr>
              <w:t>备注</w:t>
            </w:r>
          </w:p>
        </w:tc>
      </w:tr>
      <w:tr w14:paraId="0B93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08" w:type="pct"/>
            <w:vAlign w:val="center"/>
          </w:tcPr>
          <w:p w14:paraId="5AB2946D">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1</w:t>
            </w:r>
          </w:p>
        </w:tc>
        <w:tc>
          <w:tcPr>
            <w:tcW w:w="656" w:type="pct"/>
            <w:vAlign w:val="center"/>
          </w:tcPr>
          <w:p w14:paraId="3996C00E">
            <w:pPr>
              <w:tabs>
                <w:tab w:val="left" w:pos="480"/>
              </w:tabs>
              <w:jc w:val="center"/>
              <w:rPr>
                <w:rFonts w:hint="eastAsia" w:ascii="仿宋" w:hAnsi="仿宋" w:eastAsia="仿宋" w:cs="仿宋"/>
                <w:sz w:val="24"/>
                <w:szCs w:val="24"/>
              </w:rPr>
            </w:pPr>
          </w:p>
        </w:tc>
        <w:tc>
          <w:tcPr>
            <w:tcW w:w="612" w:type="pct"/>
          </w:tcPr>
          <w:p w14:paraId="5C7A7E0C">
            <w:pPr>
              <w:tabs>
                <w:tab w:val="left" w:pos="480"/>
              </w:tabs>
              <w:jc w:val="center"/>
              <w:rPr>
                <w:rFonts w:hint="eastAsia" w:ascii="仿宋" w:hAnsi="仿宋" w:eastAsia="仿宋" w:cs="仿宋"/>
                <w:sz w:val="24"/>
                <w:szCs w:val="24"/>
              </w:rPr>
            </w:pPr>
          </w:p>
        </w:tc>
        <w:tc>
          <w:tcPr>
            <w:tcW w:w="634" w:type="pct"/>
          </w:tcPr>
          <w:p w14:paraId="1670CF2B">
            <w:pPr>
              <w:tabs>
                <w:tab w:val="left" w:pos="480"/>
              </w:tabs>
              <w:jc w:val="center"/>
              <w:rPr>
                <w:rFonts w:hint="eastAsia" w:ascii="仿宋" w:hAnsi="仿宋" w:eastAsia="仿宋" w:cs="仿宋"/>
                <w:sz w:val="24"/>
                <w:szCs w:val="24"/>
              </w:rPr>
            </w:pPr>
          </w:p>
        </w:tc>
        <w:tc>
          <w:tcPr>
            <w:tcW w:w="555" w:type="pct"/>
            <w:vAlign w:val="center"/>
          </w:tcPr>
          <w:p w14:paraId="58CE3582">
            <w:pPr>
              <w:tabs>
                <w:tab w:val="left" w:pos="480"/>
              </w:tabs>
              <w:jc w:val="center"/>
              <w:rPr>
                <w:rFonts w:hint="eastAsia" w:ascii="仿宋" w:hAnsi="仿宋" w:eastAsia="仿宋" w:cs="仿宋"/>
                <w:sz w:val="24"/>
                <w:szCs w:val="24"/>
              </w:rPr>
            </w:pPr>
          </w:p>
        </w:tc>
        <w:tc>
          <w:tcPr>
            <w:tcW w:w="476" w:type="pct"/>
          </w:tcPr>
          <w:p w14:paraId="3F1BE9EE">
            <w:pPr>
              <w:tabs>
                <w:tab w:val="left" w:pos="480"/>
              </w:tabs>
              <w:jc w:val="center"/>
              <w:rPr>
                <w:rFonts w:hint="eastAsia" w:ascii="仿宋" w:hAnsi="仿宋" w:eastAsia="仿宋" w:cs="仿宋"/>
                <w:sz w:val="24"/>
                <w:szCs w:val="24"/>
              </w:rPr>
            </w:pPr>
          </w:p>
        </w:tc>
        <w:tc>
          <w:tcPr>
            <w:tcW w:w="597" w:type="pct"/>
            <w:vAlign w:val="center"/>
          </w:tcPr>
          <w:p w14:paraId="6B8774CD">
            <w:pPr>
              <w:tabs>
                <w:tab w:val="left" w:pos="480"/>
              </w:tabs>
              <w:jc w:val="center"/>
              <w:rPr>
                <w:rFonts w:hint="eastAsia" w:ascii="仿宋" w:hAnsi="仿宋" w:eastAsia="仿宋" w:cs="仿宋"/>
                <w:sz w:val="24"/>
                <w:szCs w:val="24"/>
              </w:rPr>
            </w:pPr>
          </w:p>
        </w:tc>
        <w:tc>
          <w:tcPr>
            <w:tcW w:w="567" w:type="pct"/>
          </w:tcPr>
          <w:p w14:paraId="1F68909B">
            <w:pPr>
              <w:tabs>
                <w:tab w:val="left" w:pos="480"/>
              </w:tabs>
              <w:jc w:val="center"/>
              <w:rPr>
                <w:rFonts w:hint="eastAsia" w:ascii="仿宋" w:hAnsi="仿宋" w:eastAsia="仿宋" w:cs="仿宋"/>
                <w:sz w:val="24"/>
                <w:szCs w:val="24"/>
              </w:rPr>
            </w:pPr>
          </w:p>
        </w:tc>
        <w:tc>
          <w:tcPr>
            <w:tcW w:w="495" w:type="pct"/>
          </w:tcPr>
          <w:p w14:paraId="31432635">
            <w:pPr>
              <w:tabs>
                <w:tab w:val="left" w:pos="480"/>
              </w:tabs>
              <w:jc w:val="center"/>
              <w:rPr>
                <w:rFonts w:hint="eastAsia" w:ascii="仿宋" w:hAnsi="仿宋" w:eastAsia="仿宋" w:cs="仿宋"/>
                <w:sz w:val="24"/>
                <w:szCs w:val="24"/>
              </w:rPr>
            </w:pPr>
          </w:p>
        </w:tc>
      </w:tr>
      <w:tr w14:paraId="565A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08" w:type="pct"/>
            <w:vAlign w:val="center"/>
          </w:tcPr>
          <w:p w14:paraId="7EE76E70">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2</w:t>
            </w:r>
          </w:p>
        </w:tc>
        <w:tc>
          <w:tcPr>
            <w:tcW w:w="656" w:type="pct"/>
            <w:vAlign w:val="center"/>
          </w:tcPr>
          <w:p w14:paraId="289D702C">
            <w:pPr>
              <w:tabs>
                <w:tab w:val="left" w:pos="480"/>
              </w:tabs>
              <w:jc w:val="center"/>
              <w:rPr>
                <w:rFonts w:hint="eastAsia" w:ascii="仿宋" w:hAnsi="仿宋" w:eastAsia="仿宋" w:cs="仿宋"/>
                <w:sz w:val="24"/>
                <w:szCs w:val="24"/>
              </w:rPr>
            </w:pPr>
          </w:p>
        </w:tc>
        <w:tc>
          <w:tcPr>
            <w:tcW w:w="612" w:type="pct"/>
          </w:tcPr>
          <w:p w14:paraId="2F86F341">
            <w:pPr>
              <w:tabs>
                <w:tab w:val="left" w:pos="480"/>
              </w:tabs>
              <w:jc w:val="center"/>
              <w:rPr>
                <w:rFonts w:hint="eastAsia" w:ascii="仿宋" w:hAnsi="仿宋" w:eastAsia="仿宋" w:cs="仿宋"/>
                <w:sz w:val="24"/>
                <w:szCs w:val="24"/>
              </w:rPr>
            </w:pPr>
          </w:p>
        </w:tc>
        <w:tc>
          <w:tcPr>
            <w:tcW w:w="634" w:type="pct"/>
          </w:tcPr>
          <w:p w14:paraId="7C9A73EE">
            <w:pPr>
              <w:tabs>
                <w:tab w:val="left" w:pos="480"/>
              </w:tabs>
              <w:jc w:val="center"/>
              <w:rPr>
                <w:rFonts w:hint="eastAsia" w:ascii="仿宋" w:hAnsi="仿宋" w:eastAsia="仿宋" w:cs="仿宋"/>
                <w:sz w:val="24"/>
                <w:szCs w:val="24"/>
              </w:rPr>
            </w:pPr>
          </w:p>
        </w:tc>
        <w:tc>
          <w:tcPr>
            <w:tcW w:w="555" w:type="pct"/>
            <w:vAlign w:val="center"/>
          </w:tcPr>
          <w:p w14:paraId="64BD7541">
            <w:pPr>
              <w:tabs>
                <w:tab w:val="left" w:pos="480"/>
              </w:tabs>
              <w:jc w:val="center"/>
              <w:rPr>
                <w:rFonts w:hint="eastAsia" w:ascii="仿宋" w:hAnsi="仿宋" w:eastAsia="仿宋" w:cs="仿宋"/>
                <w:sz w:val="24"/>
                <w:szCs w:val="24"/>
              </w:rPr>
            </w:pPr>
          </w:p>
        </w:tc>
        <w:tc>
          <w:tcPr>
            <w:tcW w:w="476" w:type="pct"/>
          </w:tcPr>
          <w:p w14:paraId="069B271A">
            <w:pPr>
              <w:tabs>
                <w:tab w:val="left" w:pos="480"/>
              </w:tabs>
              <w:jc w:val="center"/>
              <w:rPr>
                <w:rFonts w:hint="eastAsia" w:ascii="仿宋" w:hAnsi="仿宋" w:eastAsia="仿宋" w:cs="仿宋"/>
                <w:sz w:val="24"/>
                <w:szCs w:val="24"/>
              </w:rPr>
            </w:pPr>
          </w:p>
        </w:tc>
        <w:tc>
          <w:tcPr>
            <w:tcW w:w="597" w:type="pct"/>
            <w:vAlign w:val="center"/>
          </w:tcPr>
          <w:p w14:paraId="6927BDEA">
            <w:pPr>
              <w:tabs>
                <w:tab w:val="left" w:pos="480"/>
              </w:tabs>
              <w:jc w:val="center"/>
              <w:rPr>
                <w:rFonts w:hint="eastAsia" w:ascii="仿宋" w:hAnsi="仿宋" w:eastAsia="仿宋" w:cs="仿宋"/>
                <w:sz w:val="24"/>
                <w:szCs w:val="24"/>
              </w:rPr>
            </w:pPr>
          </w:p>
        </w:tc>
        <w:tc>
          <w:tcPr>
            <w:tcW w:w="567" w:type="pct"/>
          </w:tcPr>
          <w:p w14:paraId="3A50E6BE">
            <w:pPr>
              <w:tabs>
                <w:tab w:val="left" w:pos="480"/>
              </w:tabs>
              <w:jc w:val="center"/>
              <w:rPr>
                <w:rFonts w:hint="eastAsia" w:ascii="仿宋" w:hAnsi="仿宋" w:eastAsia="仿宋" w:cs="仿宋"/>
                <w:sz w:val="24"/>
                <w:szCs w:val="24"/>
              </w:rPr>
            </w:pPr>
          </w:p>
        </w:tc>
        <w:tc>
          <w:tcPr>
            <w:tcW w:w="495" w:type="pct"/>
          </w:tcPr>
          <w:p w14:paraId="3019CCC0">
            <w:pPr>
              <w:tabs>
                <w:tab w:val="left" w:pos="480"/>
              </w:tabs>
              <w:jc w:val="center"/>
              <w:rPr>
                <w:rFonts w:hint="eastAsia" w:ascii="仿宋" w:hAnsi="仿宋" w:eastAsia="仿宋" w:cs="仿宋"/>
                <w:sz w:val="24"/>
                <w:szCs w:val="24"/>
              </w:rPr>
            </w:pPr>
          </w:p>
        </w:tc>
      </w:tr>
      <w:tr w14:paraId="40DD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08" w:type="pct"/>
            <w:vAlign w:val="center"/>
          </w:tcPr>
          <w:p w14:paraId="0B53867D">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w:t>
            </w:r>
          </w:p>
        </w:tc>
        <w:tc>
          <w:tcPr>
            <w:tcW w:w="656" w:type="pct"/>
            <w:vAlign w:val="center"/>
          </w:tcPr>
          <w:p w14:paraId="678906CE">
            <w:pPr>
              <w:tabs>
                <w:tab w:val="left" w:pos="480"/>
              </w:tabs>
              <w:jc w:val="center"/>
              <w:rPr>
                <w:rFonts w:hint="eastAsia" w:ascii="仿宋" w:hAnsi="仿宋" w:eastAsia="仿宋" w:cs="仿宋"/>
                <w:sz w:val="24"/>
                <w:szCs w:val="24"/>
              </w:rPr>
            </w:pPr>
          </w:p>
        </w:tc>
        <w:tc>
          <w:tcPr>
            <w:tcW w:w="612" w:type="pct"/>
          </w:tcPr>
          <w:p w14:paraId="6BF4E8AF">
            <w:pPr>
              <w:tabs>
                <w:tab w:val="left" w:pos="480"/>
              </w:tabs>
              <w:jc w:val="center"/>
              <w:rPr>
                <w:rFonts w:hint="eastAsia" w:ascii="仿宋" w:hAnsi="仿宋" w:eastAsia="仿宋" w:cs="仿宋"/>
                <w:sz w:val="24"/>
                <w:szCs w:val="24"/>
              </w:rPr>
            </w:pPr>
          </w:p>
        </w:tc>
        <w:tc>
          <w:tcPr>
            <w:tcW w:w="634" w:type="pct"/>
          </w:tcPr>
          <w:p w14:paraId="1EC74EBA">
            <w:pPr>
              <w:tabs>
                <w:tab w:val="left" w:pos="480"/>
              </w:tabs>
              <w:jc w:val="center"/>
              <w:rPr>
                <w:rFonts w:hint="eastAsia" w:ascii="仿宋" w:hAnsi="仿宋" w:eastAsia="仿宋" w:cs="仿宋"/>
                <w:sz w:val="24"/>
                <w:szCs w:val="24"/>
              </w:rPr>
            </w:pPr>
          </w:p>
        </w:tc>
        <w:tc>
          <w:tcPr>
            <w:tcW w:w="555" w:type="pct"/>
            <w:vAlign w:val="center"/>
          </w:tcPr>
          <w:p w14:paraId="5FDD0C6D">
            <w:pPr>
              <w:tabs>
                <w:tab w:val="left" w:pos="480"/>
              </w:tabs>
              <w:jc w:val="center"/>
              <w:rPr>
                <w:rFonts w:hint="eastAsia" w:ascii="仿宋" w:hAnsi="仿宋" w:eastAsia="仿宋" w:cs="仿宋"/>
                <w:sz w:val="24"/>
                <w:szCs w:val="24"/>
              </w:rPr>
            </w:pPr>
          </w:p>
        </w:tc>
        <w:tc>
          <w:tcPr>
            <w:tcW w:w="476" w:type="pct"/>
          </w:tcPr>
          <w:p w14:paraId="071814F7">
            <w:pPr>
              <w:tabs>
                <w:tab w:val="left" w:pos="480"/>
              </w:tabs>
              <w:jc w:val="center"/>
              <w:rPr>
                <w:rFonts w:hint="eastAsia" w:ascii="仿宋" w:hAnsi="仿宋" w:eastAsia="仿宋" w:cs="仿宋"/>
                <w:sz w:val="24"/>
                <w:szCs w:val="24"/>
              </w:rPr>
            </w:pPr>
          </w:p>
        </w:tc>
        <w:tc>
          <w:tcPr>
            <w:tcW w:w="597" w:type="pct"/>
            <w:vAlign w:val="center"/>
          </w:tcPr>
          <w:p w14:paraId="3897A0D0">
            <w:pPr>
              <w:tabs>
                <w:tab w:val="left" w:pos="480"/>
              </w:tabs>
              <w:jc w:val="center"/>
              <w:rPr>
                <w:rFonts w:hint="eastAsia" w:ascii="仿宋" w:hAnsi="仿宋" w:eastAsia="仿宋" w:cs="仿宋"/>
                <w:sz w:val="24"/>
                <w:szCs w:val="24"/>
              </w:rPr>
            </w:pPr>
          </w:p>
        </w:tc>
        <w:tc>
          <w:tcPr>
            <w:tcW w:w="567" w:type="pct"/>
          </w:tcPr>
          <w:p w14:paraId="2B5F45AE">
            <w:pPr>
              <w:tabs>
                <w:tab w:val="left" w:pos="480"/>
              </w:tabs>
              <w:jc w:val="center"/>
              <w:rPr>
                <w:rFonts w:hint="eastAsia" w:ascii="仿宋" w:hAnsi="仿宋" w:eastAsia="仿宋" w:cs="仿宋"/>
                <w:sz w:val="24"/>
                <w:szCs w:val="24"/>
              </w:rPr>
            </w:pPr>
          </w:p>
        </w:tc>
        <w:tc>
          <w:tcPr>
            <w:tcW w:w="495" w:type="pct"/>
          </w:tcPr>
          <w:p w14:paraId="4B838B89">
            <w:pPr>
              <w:tabs>
                <w:tab w:val="left" w:pos="480"/>
              </w:tabs>
              <w:jc w:val="center"/>
              <w:rPr>
                <w:rFonts w:hint="eastAsia" w:ascii="仿宋" w:hAnsi="仿宋" w:eastAsia="仿宋" w:cs="仿宋"/>
                <w:sz w:val="24"/>
                <w:szCs w:val="24"/>
              </w:rPr>
            </w:pPr>
          </w:p>
        </w:tc>
      </w:tr>
      <w:tr w14:paraId="395B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000" w:type="pct"/>
            <w:gridSpan w:val="9"/>
            <w:vAlign w:val="center"/>
          </w:tcPr>
          <w:p w14:paraId="2E8893C4">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合计人民币（大写）：</w:t>
            </w:r>
          </w:p>
          <w:p w14:paraId="2E0C6D6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合计：</w:t>
            </w:r>
          </w:p>
        </w:tc>
      </w:tr>
      <w:tr w14:paraId="6F6A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08" w:type="pct"/>
            <w:vAlign w:val="center"/>
          </w:tcPr>
          <w:p w14:paraId="30D2056C">
            <w:pPr>
              <w:tabs>
                <w:tab w:val="left" w:pos="480"/>
              </w:tabs>
              <w:jc w:val="center"/>
              <w:rPr>
                <w:rFonts w:hint="eastAsia" w:ascii="仿宋" w:hAnsi="仿宋" w:eastAsia="仿宋" w:cs="仿宋"/>
                <w:sz w:val="24"/>
                <w:szCs w:val="24"/>
              </w:rPr>
            </w:pPr>
            <w:r>
              <w:rPr>
                <w:rFonts w:hint="eastAsia" w:ascii="仿宋" w:hAnsi="仿宋" w:eastAsia="仿宋" w:cs="仿宋"/>
                <w:sz w:val="24"/>
                <w:szCs w:val="24"/>
              </w:rPr>
              <w:t>说明</w:t>
            </w:r>
          </w:p>
        </w:tc>
        <w:tc>
          <w:tcPr>
            <w:tcW w:w="4592" w:type="pct"/>
            <w:gridSpan w:val="8"/>
            <w:vAlign w:val="center"/>
          </w:tcPr>
          <w:p w14:paraId="726C8DE6">
            <w:pPr>
              <w:tabs>
                <w:tab w:val="left" w:pos="480"/>
              </w:tabs>
              <w:jc w:val="center"/>
              <w:rPr>
                <w:rFonts w:hint="eastAsia" w:ascii="仿宋" w:hAnsi="仿宋" w:eastAsia="仿宋" w:cs="仿宋"/>
                <w:sz w:val="24"/>
                <w:szCs w:val="24"/>
              </w:rPr>
            </w:pPr>
          </w:p>
        </w:tc>
      </w:tr>
    </w:tbl>
    <w:p w14:paraId="6C61B712">
      <w:pPr>
        <w:tabs>
          <w:tab w:val="left" w:pos="480"/>
        </w:tabs>
        <w:ind w:firstLine="472" w:firstLineChars="196"/>
        <w:rPr>
          <w:rFonts w:hint="eastAsia" w:ascii="仿宋" w:hAnsi="仿宋" w:eastAsia="仿宋" w:cs="仿宋"/>
          <w:b/>
          <w:sz w:val="24"/>
          <w:szCs w:val="24"/>
        </w:rPr>
      </w:pPr>
      <w:r>
        <w:rPr>
          <w:rFonts w:hint="eastAsia" w:ascii="仿宋" w:hAnsi="仿宋" w:eastAsia="仿宋" w:cs="仿宋"/>
          <w:b/>
          <w:sz w:val="24"/>
          <w:szCs w:val="24"/>
        </w:rPr>
        <w:t>二、合同价款</w:t>
      </w:r>
    </w:p>
    <w:p w14:paraId="7255000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（一）合同总价款按本项目招标所需供货需求的样式、乙方投标报价单单价及供货量计算确定。</w:t>
      </w:r>
    </w:p>
    <w:p w14:paraId="563B8EE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（二）中标单价</w:t>
      </w:r>
      <w:r>
        <w:rPr>
          <w:rFonts w:hint="eastAsia" w:ascii="仿宋" w:hAnsi="仿宋" w:eastAsia="仿宋" w:cs="仿宋"/>
          <w:sz w:val="24"/>
          <w:szCs w:val="24"/>
          <w:lang w:eastAsia="zh-CN"/>
        </w:rPr>
        <w:t>合计</w:t>
      </w:r>
      <w:r>
        <w:rPr>
          <w:rFonts w:hint="eastAsia" w:ascii="仿宋" w:hAnsi="仿宋" w:eastAsia="仿宋" w:cs="仿宋"/>
          <w:sz w:val="24"/>
          <w:szCs w:val="24"/>
        </w:rPr>
        <w:t>总金额：¥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w:t>
      </w:r>
      <w:r>
        <w:rPr>
          <w:rFonts w:hint="eastAsia" w:ascii="仿宋" w:hAnsi="仿宋" w:eastAsia="仿宋" w:cs="仿宋"/>
          <w:sz w:val="24"/>
          <w:szCs w:val="24"/>
        </w:rPr>
        <w:t>（大写：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1F3334AC">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合同总价包括：税费、货物费、运输费（含保险费）、安装调试费、检测验收费及其它乙方履行合同义务所需的全部费用。本合同执行期间合同总价不变，甲方无须另向乙方支付本合同规定之外的其他任何费用。</w:t>
      </w:r>
    </w:p>
    <w:p w14:paraId="72D71FE1">
      <w:pPr>
        <w:tabs>
          <w:tab w:val="left" w:pos="480"/>
        </w:tabs>
        <w:ind w:firstLine="472" w:firstLineChars="196"/>
        <w:rPr>
          <w:rFonts w:hint="eastAsia" w:ascii="仿宋" w:hAnsi="仿宋" w:eastAsia="仿宋" w:cs="仿宋"/>
          <w:b/>
          <w:sz w:val="24"/>
          <w:szCs w:val="24"/>
        </w:rPr>
      </w:pPr>
      <w:r>
        <w:rPr>
          <w:rFonts w:hint="eastAsia" w:ascii="仿宋" w:hAnsi="仿宋" w:eastAsia="仿宋" w:cs="仿宋"/>
          <w:b/>
          <w:sz w:val="24"/>
          <w:szCs w:val="24"/>
        </w:rPr>
        <w:t>三、款项结算</w:t>
      </w:r>
    </w:p>
    <w:p w14:paraId="40284F5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（一）供货结算方式：货物到达甲方指定地点，并经甲方验收合格后，按乙方本月实际供应并通过甲方验收的货物数量，以乙方投标报价单价为基准价计算，每月结算货款，年度采购不超过预算</w:t>
      </w:r>
      <w:r>
        <w:rPr>
          <w:rFonts w:hint="eastAsia" w:ascii="仿宋" w:hAnsi="仿宋" w:eastAsia="仿宋" w:cs="仿宋"/>
          <w:sz w:val="24"/>
          <w:szCs w:val="24"/>
          <w:lang w:val="en-US" w:eastAsia="zh-CN"/>
        </w:rPr>
        <w:t>35</w:t>
      </w:r>
      <w:r>
        <w:rPr>
          <w:rFonts w:hint="eastAsia" w:ascii="仿宋" w:hAnsi="仿宋" w:eastAsia="仿宋" w:cs="仿宋"/>
          <w:sz w:val="24"/>
          <w:szCs w:val="24"/>
        </w:rPr>
        <w:t>万元。</w:t>
      </w:r>
      <w:r>
        <w:rPr>
          <w:rFonts w:hint="eastAsia" w:ascii="仿宋" w:hAnsi="仿宋" w:eastAsia="仿宋" w:cs="仿宋"/>
          <w:sz w:val="24"/>
          <w:szCs w:val="24"/>
          <w:lang w:eastAsia="zh-CN"/>
        </w:rPr>
        <w:t>按每月实际交付验收合格的供货数量为依据。</w:t>
      </w:r>
    </w:p>
    <w:p w14:paraId="45B18EA5">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（二）支付方式：银行转帐。乙方保证其提供的账号准确无误，若在合同履行期间发生变更，乙方需及时书面通知甲方，否则由此产生的后果由乙方承担。</w:t>
      </w:r>
    </w:p>
    <w:p w14:paraId="59929F8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（二）乙方应于甲方每次付款前持验收合格书，合规发票（按本次结算总价开给甲方），成交通知书、供货合同，与甲方结算。如乙方未提供上述任何材料之一的，甲方有权拒付合同款项，且无需承担任何责任。</w:t>
      </w:r>
    </w:p>
    <w:p w14:paraId="3A85019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（三）支付方式：银行转帐。乙方保证其提供的账号准确无误，若在合同履行期间发生变更，乙方需及时书面通知甲方，否则由此产生的后果由乙方承担。</w:t>
      </w:r>
    </w:p>
    <w:p w14:paraId="7C0D3C8C">
      <w:pPr>
        <w:tabs>
          <w:tab w:val="left" w:pos="480"/>
        </w:tabs>
        <w:spacing w:line="360"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四、</w:t>
      </w:r>
      <w:r>
        <w:rPr>
          <w:rFonts w:hint="eastAsia" w:ascii="仿宋" w:hAnsi="仿宋" w:eastAsia="仿宋" w:cs="仿宋"/>
          <w:sz w:val="24"/>
          <w:szCs w:val="24"/>
        </w:rPr>
        <w:t>双方的权利和义务</w:t>
      </w:r>
    </w:p>
    <w:p w14:paraId="061E09A9">
      <w:pPr>
        <w:ind w:firstLine="240" w:firstLineChars="100"/>
        <w:rPr>
          <w:rFonts w:hint="eastAsia" w:ascii="仿宋" w:hAnsi="仿宋" w:eastAsia="仿宋" w:cs="仿宋"/>
          <w:sz w:val="24"/>
          <w:szCs w:val="24"/>
        </w:rPr>
      </w:pPr>
      <w:r>
        <w:rPr>
          <w:rFonts w:hint="eastAsia" w:ascii="仿宋" w:hAnsi="仿宋" w:eastAsia="仿宋" w:cs="仿宋"/>
          <w:sz w:val="24"/>
          <w:szCs w:val="24"/>
        </w:rPr>
        <w:t>（一）甲方的权利和义务</w:t>
      </w:r>
    </w:p>
    <w:p w14:paraId="3CD5B21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（甲、乙双方约定）甲方提供场地配合乙方安装调试，按招标文件来规范乙方。</w:t>
      </w:r>
    </w:p>
    <w:p w14:paraId="3128F365">
      <w:pPr>
        <w:ind w:firstLine="240" w:firstLineChars="100"/>
        <w:rPr>
          <w:rFonts w:hint="eastAsia" w:ascii="仿宋" w:hAnsi="仿宋" w:eastAsia="仿宋" w:cs="仿宋"/>
          <w:sz w:val="24"/>
          <w:szCs w:val="24"/>
        </w:rPr>
      </w:pPr>
      <w:r>
        <w:rPr>
          <w:rFonts w:hint="eastAsia" w:ascii="仿宋" w:hAnsi="仿宋" w:eastAsia="仿宋" w:cs="仿宋"/>
          <w:sz w:val="24"/>
          <w:szCs w:val="24"/>
        </w:rPr>
        <w:t>（二）乙方的权利和义务</w:t>
      </w:r>
    </w:p>
    <w:p w14:paraId="4876AF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（甲、乙双方约定）乙方按照合同约定保证提供全新原厂设备，按时到货安装，并承担招标文件所规定的义务。</w:t>
      </w:r>
    </w:p>
    <w:p w14:paraId="458A6977">
      <w:pPr>
        <w:tabs>
          <w:tab w:val="left" w:pos="480"/>
        </w:tabs>
        <w:spacing w:line="360" w:lineRule="auto"/>
        <w:ind w:firstLine="472" w:firstLineChars="196"/>
        <w:rPr>
          <w:rFonts w:hint="eastAsia" w:ascii="仿宋" w:hAnsi="仿宋" w:eastAsia="仿宋" w:cs="仿宋"/>
          <w:sz w:val="24"/>
          <w:szCs w:val="24"/>
        </w:rPr>
      </w:pPr>
      <w:r>
        <w:rPr>
          <w:rFonts w:hint="eastAsia" w:ascii="仿宋" w:hAnsi="仿宋" w:eastAsia="仿宋" w:cs="仿宋"/>
          <w:b/>
          <w:sz w:val="24"/>
          <w:szCs w:val="24"/>
        </w:rPr>
        <w:t>五、交货条件：</w:t>
      </w:r>
    </w:p>
    <w:p w14:paraId="71C4D22B">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（一）交货地点：甲方指定地点。</w:t>
      </w:r>
    </w:p>
    <w:p w14:paraId="72F0473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（二）供货期：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日至</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日止，在此期间甲方所需货物，乙方必须在接到供货需求后一星期内送到甲方指定地点并完成货物的安装、调试、验收合格并正常使用，每延迟一天按500元向甲方支付违约金，</w:t>
      </w:r>
      <w:r>
        <w:rPr>
          <w:rFonts w:hint="eastAsia" w:ascii="仿宋" w:hAnsi="仿宋" w:eastAsia="仿宋" w:cs="仿宋"/>
          <w:sz w:val="24"/>
          <w:szCs w:val="24"/>
          <w:lang w:val="en-US" w:eastAsia="zh-CN"/>
        </w:rPr>
        <w:t>单次</w:t>
      </w:r>
      <w:r>
        <w:rPr>
          <w:rFonts w:hint="eastAsia" w:ascii="仿宋" w:hAnsi="仿宋" w:eastAsia="仿宋" w:cs="仿宋"/>
          <w:sz w:val="24"/>
          <w:szCs w:val="24"/>
        </w:rPr>
        <w:t>延迟超过【2】天</w:t>
      </w:r>
      <w:r>
        <w:rPr>
          <w:rFonts w:hint="eastAsia" w:ascii="仿宋" w:hAnsi="仿宋" w:eastAsia="仿宋" w:cs="仿宋"/>
          <w:sz w:val="24"/>
          <w:szCs w:val="24"/>
          <w:lang w:val="en-US" w:eastAsia="zh-CN"/>
        </w:rPr>
        <w:t>后或者合同履行期内延迟供货情形累计达到【3】次的，</w:t>
      </w:r>
      <w:r>
        <w:rPr>
          <w:rFonts w:hint="eastAsia" w:ascii="仿宋" w:hAnsi="仿宋" w:eastAsia="仿宋" w:cs="仿宋"/>
          <w:sz w:val="24"/>
          <w:szCs w:val="24"/>
        </w:rPr>
        <w:t>视为乙方根本违约，甲方有权单方解除本合同，自解除通知书送达乙方时本合同解除，同时按照本合同第十条第（二）款之约定追究乙方的违约责任。</w:t>
      </w:r>
    </w:p>
    <w:p w14:paraId="47051815">
      <w:pPr>
        <w:tabs>
          <w:tab w:val="left" w:pos="480"/>
        </w:tabs>
        <w:ind w:firstLine="472" w:firstLineChars="196"/>
        <w:rPr>
          <w:rFonts w:hint="eastAsia" w:ascii="仿宋" w:hAnsi="仿宋" w:eastAsia="仿宋" w:cs="仿宋"/>
          <w:b/>
          <w:sz w:val="24"/>
          <w:szCs w:val="24"/>
        </w:rPr>
      </w:pPr>
      <w:r>
        <w:rPr>
          <w:rFonts w:hint="eastAsia" w:ascii="仿宋" w:hAnsi="仿宋" w:eastAsia="仿宋" w:cs="仿宋"/>
          <w:b/>
          <w:sz w:val="24"/>
          <w:szCs w:val="24"/>
        </w:rPr>
        <w:t>六、运输</w:t>
      </w:r>
    </w:p>
    <w:p w14:paraId="73B485A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（一）运输由乙方负责，运杂费已包含在合同总价内，包括从货物供应地点所含的运输费、装卸费、仓储费、保险费等。</w:t>
      </w:r>
    </w:p>
    <w:p w14:paraId="114C922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w:t>
      </w:r>
    </w:p>
    <w:p w14:paraId="53A35D2C">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（三）货物验收合格前，运输过程中发生的一切风险及质量问题由乙方负责。</w:t>
      </w:r>
    </w:p>
    <w:p w14:paraId="358352D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七、质量保证</w:t>
      </w:r>
    </w:p>
    <w:p w14:paraId="00287816">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乙方所供货物必须执行下列条款：</w:t>
      </w:r>
    </w:p>
    <w:p w14:paraId="4EAEC6A5">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（一）选用的货物保证技术指标先进、质量性能可靠、进货渠道正常，配置合理，全面满足招标文件要求。</w:t>
      </w:r>
    </w:p>
    <w:p w14:paraId="210269F7">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（二）货物符合国家有关规范要求，确保整个货物达到最佳使用状态。</w:t>
      </w:r>
    </w:p>
    <w:p w14:paraId="00D3A9DF">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（三）货物自验收合格之日起：提供质保</w:t>
      </w:r>
      <w:r>
        <w:rPr>
          <w:rFonts w:hint="eastAsia" w:ascii="仿宋" w:hAnsi="仿宋" w:eastAsia="仿宋" w:cs="仿宋"/>
          <w:color w:val="auto"/>
          <w:sz w:val="24"/>
          <w:szCs w:val="24"/>
          <w:highlight w:val="none"/>
          <w:lang w:eastAsia="zh-CN"/>
        </w:rPr>
        <w:t>壹</w:t>
      </w:r>
      <w:r>
        <w:rPr>
          <w:rFonts w:hint="eastAsia" w:ascii="仿宋" w:hAnsi="仿宋" w:eastAsia="仿宋" w:cs="仿宋"/>
          <w:color w:val="auto"/>
          <w:sz w:val="24"/>
          <w:szCs w:val="24"/>
          <w:highlight w:val="none"/>
        </w:rPr>
        <w:t>年，在质保期内发生质量问题的产品，供应商须在接到通知后48小时以内进行更换或退换，确保所提供的产品合格率达到100%，并对造成的损失承担赔偿责任。</w:t>
      </w:r>
    </w:p>
    <w:p w14:paraId="739509E8">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供应商必须制订安全、有效的特殊情况应急预案，以确保产品的供给。</w:t>
      </w:r>
    </w:p>
    <w:p w14:paraId="3D807B5C">
      <w:pPr>
        <w:keepNext w:val="0"/>
        <w:keepLines w:val="0"/>
        <w:pageBreakBefore w:val="0"/>
        <w:widowControl w:val="0"/>
        <w:shd w:val="clea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供应商提供的各类产品须有产品合格证。</w:t>
      </w:r>
    </w:p>
    <w:p w14:paraId="4F7809A3">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八</w:t>
      </w:r>
      <w:r>
        <w:rPr>
          <w:rFonts w:hint="eastAsia" w:ascii="仿宋" w:hAnsi="仿宋" w:eastAsia="仿宋" w:cs="仿宋"/>
          <w:b/>
          <w:color w:val="auto"/>
          <w:sz w:val="24"/>
          <w:szCs w:val="24"/>
          <w:highlight w:val="none"/>
        </w:rPr>
        <w:t>、技术与服务</w:t>
      </w:r>
    </w:p>
    <w:p w14:paraId="6BD3F518">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（一）技术资料：</w:t>
      </w:r>
    </w:p>
    <w:p w14:paraId="0BB9E9F1">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1、货物合格证；</w:t>
      </w:r>
    </w:p>
    <w:p w14:paraId="27925A7F">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2、货物使用说明书（中文）；</w:t>
      </w:r>
    </w:p>
    <w:p w14:paraId="6B74FC5F">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3、进口货物商检证明和报关单；</w:t>
      </w:r>
    </w:p>
    <w:p w14:paraId="11D96BC5">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4、检验测试报告；</w:t>
      </w:r>
    </w:p>
    <w:p w14:paraId="79FF06AC">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5、其它资料。</w:t>
      </w:r>
    </w:p>
    <w:p w14:paraId="479FF074">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（二）服务承诺：以澄清表、合同和随货物的相关文件为准。</w:t>
      </w:r>
    </w:p>
    <w:p w14:paraId="1E59D5FB">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）外观质量</w:t>
      </w:r>
    </w:p>
    <w:p w14:paraId="6EB196EE">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1.文具表面应平整、光滑，无明显划痕、凹陷、变形等缺陷。</w:t>
      </w:r>
    </w:p>
    <w:p w14:paraId="0EB9A345">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2.颜色应均匀一致，无明显色差。</w:t>
      </w:r>
    </w:p>
    <w:p w14:paraId="221EA619">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3.印刷图案和文字应清晰、完整，无模糊、重影等现象。</w:t>
      </w:r>
    </w:p>
    <w:p w14:paraId="48265656">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）安全性</w:t>
      </w:r>
    </w:p>
    <w:p w14:paraId="73AA370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1.文具材料应无毒、无味，对人体无害。例如，铅笔的漆层应符合国家相关标准，不含有害重金属。</w:t>
      </w:r>
    </w:p>
    <w:p w14:paraId="2170E5C8">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2.文具的设计应避免尖锐的边角，防止对使用者造成伤害。</w:t>
      </w:r>
    </w:p>
    <w:p w14:paraId="6242AA2A">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3.文具应具有一定的耐用性，能够经受正常使用和一定程度的磨损。</w:t>
      </w:r>
    </w:p>
    <w:p w14:paraId="4144E13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）质量要求</w:t>
      </w:r>
    </w:p>
    <w:p w14:paraId="2FCEA75F">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1、所有产品必须符合国家相关法律或行业标准的相关规定。</w:t>
      </w:r>
    </w:p>
    <w:p w14:paraId="71DA0D22">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2、所有产品的做工、材质要与甲方要求相一致，大小规格要严格按行业规范标准执行，存在争议时甲方享有最高解释权。</w:t>
      </w:r>
    </w:p>
    <w:p w14:paraId="482609BA">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lang w:eastAsia="zh-CN"/>
        </w:rPr>
        <w:t>）其他要求</w:t>
      </w:r>
    </w:p>
    <w:p w14:paraId="1765BFE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1、供应商必须制订安全、有效的特殊情况（如交通受阻、停电、停水、停气、机器设备故障等）应急预案，以确保产品的供给，并在投标文件中列明。</w:t>
      </w:r>
    </w:p>
    <w:p w14:paraId="7823FCD6">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2、每一批次的产品都必须有厂家出具的质监部门的检验报告。</w:t>
      </w:r>
    </w:p>
    <w:p w14:paraId="08A22E8F">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3、货物交货时，中标供应商必须派遣服务队伍至最终用户现场， 附品种、数量清单，供采购人发放签收用。</w:t>
      </w:r>
    </w:p>
    <w:p w14:paraId="316217A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九、技术与服务</w:t>
      </w:r>
    </w:p>
    <w:p w14:paraId="362839DD">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（一）技术资料：</w:t>
      </w:r>
    </w:p>
    <w:p w14:paraId="1A0985F4">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1．货物合格证；</w:t>
      </w:r>
    </w:p>
    <w:p w14:paraId="6C0FA855">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2．货物使用说明书（中文）；</w:t>
      </w:r>
    </w:p>
    <w:p w14:paraId="11B0D6E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3．项目完成资料、检验测试报告；</w:t>
      </w:r>
    </w:p>
    <w:p w14:paraId="4D6A1B9A">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4.其它资料。</w:t>
      </w:r>
    </w:p>
    <w:p w14:paraId="029286A9">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（二）服务承诺：以投标/响应文件、澄清表（函）、合同和随货物的相关文件为准。</w:t>
      </w:r>
    </w:p>
    <w:p w14:paraId="37925FB8">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2DF5FE4D">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（一）按《民法典》中的相关条款执行。</w:t>
      </w:r>
    </w:p>
    <w:p w14:paraId="794CF458">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未按合同要求提供产品、服务或货物、服务质量不能满足招标文件技术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16E8ADB2">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1、乙方赔偿甲方解除合同的全部损失（包括但不限于重新采购产生的费用、合同未履行导致货物不能按规划交付使用可能产生的租赁费用及其它由此造成的甲方对第三方的违约损失）；</w:t>
      </w:r>
    </w:p>
    <w:p w14:paraId="59A517E9">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2、乙方支付甲方违约金，违约金计算方法：以</w:t>
      </w:r>
      <w:r>
        <w:rPr>
          <w:rFonts w:hint="eastAsia" w:ascii="仿宋" w:hAnsi="仿宋" w:eastAsia="仿宋" w:cs="仿宋"/>
          <w:color w:val="auto"/>
          <w:sz w:val="24"/>
          <w:szCs w:val="24"/>
          <w:highlight w:val="none"/>
          <w:lang w:val="en-US" w:eastAsia="zh-CN"/>
        </w:rPr>
        <w:t>本项目采购预算价</w:t>
      </w:r>
      <w:r>
        <w:rPr>
          <w:rFonts w:hint="eastAsia" w:ascii="仿宋" w:hAnsi="仿宋" w:eastAsia="仿宋" w:cs="仿宋"/>
          <w:color w:val="auto"/>
          <w:sz w:val="24"/>
          <w:szCs w:val="24"/>
          <w:highlight w:val="none"/>
          <w:lang w:eastAsia="zh-CN"/>
        </w:rPr>
        <w:t>为基数，支付30%为违约金。</w:t>
      </w:r>
    </w:p>
    <w:p w14:paraId="61CAB802">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十一、验收</w:t>
      </w:r>
    </w:p>
    <w:p w14:paraId="74753D8F">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（一）货物到达甲方指定地点后，甲方根据招标文件及合同要求，对货物进行外观、产地、规格、型号、材质和数量进行验收。对于不符合合同约定的货物，甲方可以拒收，且交货期不顺延。</w:t>
      </w:r>
    </w:p>
    <w:p w14:paraId="1C9C1D3C">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（二）验收依据：</w:t>
      </w:r>
    </w:p>
    <w:p w14:paraId="17E6EAB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1、招标文件、澄清表（函）、变更确认函；</w:t>
      </w:r>
    </w:p>
    <w:p w14:paraId="234397B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2、本合同及附件文本；</w:t>
      </w:r>
    </w:p>
    <w:p w14:paraId="39223A86">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3、国家相应的标准、规范。</w:t>
      </w:r>
    </w:p>
    <w:p w14:paraId="3D334CF3">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49DB7484">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本合同在履行过程中发生的争议，由甲、乙双方当事人协商解决，协商不成的按下列第（二）种方式解决：</w:t>
      </w:r>
    </w:p>
    <w:p w14:paraId="14312F14">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（一）提交西安仲裁委员会仲裁；</w:t>
      </w:r>
    </w:p>
    <w:p w14:paraId="13730A28">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（二）依法向甲方所在地人民法院起诉。</w:t>
      </w:r>
    </w:p>
    <w:p w14:paraId="733B18E3">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十三、合同生效</w:t>
      </w:r>
    </w:p>
    <w:p w14:paraId="24A839E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本合同一式陆份，具有同等法律效力，甲方执</w:t>
      </w:r>
      <w:r>
        <w:rPr>
          <w:rFonts w:hint="eastAsia" w:ascii="仿宋" w:hAnsi="仿宋" w:eastAsia="仿宋" w:cs="仿宋"/>
          <w:color w:val="auto"/>
          <w:sz w:val="24"/>
          <w:szCs w:val="24"/>
          <w:highlight w:val="none"/>
          <w:lang w:val="en-US" w:eastAsia="zh-CN"/>
        </w:rPr>
        <w:t>肆</w:t>
      </w:r>
      <w:r>
        <w:rPr>
          <w:rFonts w:hint="eastAsia" w:ascii="仿宋" w:hAnsi="仿宋" w:eastAsia="仿宋" w:cs="仿宋"/>
          <w:color w:val="auto"/>
          <w:sz w:val="24"/>
          <w:szCs w:val="24"/>
          <w:highlight w:val="none"/>
          <w:lang w:eastAsia="zh-CN"/>
        </w:rPr>
        <w:t>份，乙方执贰份，本合同自甲、乙</w:t>
      </w:r>
      <w:r>
        <w:rPr>
          <w:rFonts w:hint="eastAsia" w:ascii="仿宋" w:hAnsi="仿宋" w:eastAsia="仿宋" w:cs="仿宋"/>
          <w:color w:val="auto"/>
          <w:sz w:val="24"/>
          <w:szCs w:val="24"/>
          <w:highlight w:val="none"/>
          <w:lang w:val="en-US" w:eastAsia="zh-CN"/>
        </w:rPr>
        <w:t>双方</w:t>
      </w:r>
      <w:r>
        <w:rPr>
          <w:rFonts w:hint="eastAsia" w:ascii="仿宋" w:hAnsi="仿宋" w:eastAsia="仿宋" w:cs="仿宋"/>
          <w:color w:val="auto"/>
          <w:sz w:val="24"/>
          <w:szCs w:val="24"/>
          <w:highlight w:val="none"/>
          <w:lang w:eastAsia="zh-CN"/>
        </w:rPr>
        <w:t>签字盖章后生效，合同执行完毕后，自动终止（合同的服务承诺则长期有效）。</w:t>
      </w:r>
    </w:p>
    <w:p w14:paraId="63D2B180">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72" w:firstLineChars="196"/>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十四、其他事项</w:t>
      </w:r>
    </w:p>
    <w:p w14:paraId="3B1D53E3">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）西安市财政局采购管理处在合同的履行期间以及履行期后，可以随时检查项目的执行情况，对采购内容、标准进行调查核实，并对发现的问题进行处理。</w:t>
      </w:r>
    </w:p>
    <w:p w14:paraId="30247D1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）招标/磋商文件、投标/响应文件、中标/成交通知书、合同附件均成为合同不可分割的部分。</w:t>
      </w:r>
    </w:p>
    <w:p w14:paraId="59320269">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）合同未尽事宜，由甲、乙双方协商</w:t>
      </w:r>
      <w:r>
        <w:rPr>
          <w:rFonts w:hint="eastAsia" w:ascii="仿宋" w:hAnsi="仿宋" w:eastAsia="仿宋" w:cs="仿宋"/>
          <w:color w:val="auto"/>
          <w:sz w:val="24"/>
          <w:szCs w:val="24"/>
          <w:highlight w:val="none"/>
          <w:lang w:val="en-US" w:eastAsia="zh-CN"/>
        </w:rPr>
        <w:t>确认后，</w:t>
      </w:r>
      <w:r>
        <w:rPr>
          <w:rFonts w:hint="eastAsia" w:ascii="仿宋" w:hAnsi="仿宋" w:eastAsia="仿宋" w:cs="仿宋"/>
          <w:color w:val="auto"/>
          <w:sz w:val="24"/>
          <w:szCs w:val="24"/>
          <w:highlight w:val="none"/>
        </w:rPr>
        <w:t>作为合同补充，与原合同具有同等法律效力。</w:t>
      </w:r>
    </w:p>
    <w:p w14:paraId="22FCBD47">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）合同一经签订，不得擅自变更、中止或终止合同。对确需变更、调整或中止、终止合同的，应按规定履行相应的手续。</w:t>
      </w:r>
    </w:p>
    <w:p w14:paraId="413D7F36">
      <w:pPr>
        <w:keepNext w:val="0"/>
        <w:keepLines w:val="0"/>
        <w:pageBreakBefore w:val="0"/>
        <w:widowControl w:val="0"/>
        <w:shd w:val="clear"/>
        <w:tabs>
          <w:tab w:val="left" w:pos="480"/>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rPr>
        <w:t>）本合同按照中华人民共和国的现行法律进行解释。</w:t>
      </w:r>
    </w:p>
    <w:p w14:paraId="60784EF0">
      <w:pPr>
        <w:tabs>
          <w:tab w:val="left" w:pos="480"/>
        </w:tabs>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六</w:t>
      </w:r>
      <w:r>
        <w:rPr>
          <w:rFonts w:hint="eastAsia" w:ascii="仿宋" w:hAnsi="仿宋" w:eastAsia="仿宋" w:cs="仿宋"/>
          <w:color w:val="000000" w:themeColor="text1"/>
          <w:sz w:val="24"/>
          <w:szCs w:val="24"/>
          <w14:textFill>
            <w14:solidFill>
              <w14:schemeClr w14:val="tx1"/>
            </w14:solidFill>
          </w14:textFill>
        </w:rPr>
        <w:t>）供应商规模：</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（大型企业/中型企业/小微型企业）</w:t>
      </w:r>
    </w:p>
    <w:p w14:paraId="4EAE7D57">
      <w:pPr>
        <w:tabs>
          <w:tab w:val="left" w:pos="480"/>
        </w:tabs>
        <w:spacing w:line="360" w:lineRule="auto"/>
        <w:ind w:firstLine="480" w:firstLineChars="20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七</w:t>
      </w:r>
      <w:r>
        <w:rPr>
          <w:rFonts w:hint="eastAsia" w:ascii="仿宋" w:hAnsi="仿宋" w:eastAsia="仿宋" w:cs="仿宋"/>
          <w:color w:val="000000" w:themeColor="text1"/>
          <w:sz w:val="24"/>
          <w:szCs w:val="24"/>
          <w14:textFill>
            <w14:solidFill>
              <w14:schemeClr w14:val="tx1"/>
            </w14:solidFill>
          </w14:textFill>
        </w:rPr>
        <w:t>） 甲方联系人：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；联系电话：</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2C90E99F">
      <w:pPr>
        <w:tabs>
          <w:tab w:val="left" w:pos="480"/>
        </w:tabs>
        <w:rPr>
          <w:rFonts w:hint="eastAsia" w:ascii="仿宋" w:hAnsi="仿宋" w:eastAsia="仿宋" w:cs="仿宋"/>
          <w:color w:val="auto"/>
          <w:sz w:val="24"/>
          <w:highlight w:val="none"/>
        </w:rPr>
      </w:pPr>
      <w:r>
        <w:rPr>
          <w:rFonts w:hint="eastAsia" w:ascii="仿宋" w:hAnsi="仿宋" w:eastAsia="仿宋" w:cs="仿宋"/>
          <w:color w:val="000000" w:themeColor="text1"/>
          <w:sz w:val="24"/>
          <w:szCs w:val="24"/>
          <w14:textFill>
            <w14:solidFill>
              <w14:schemeClr w14:val="tx1"/>
            </w14:solidFill>
          </w14:textFill>
        </w:rPr>
        <w:t xml:space="preserve"> 乙方联系人：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；联系电话：</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6C449C8E">
      <w:pPr>
        <w:tabs>
          <w:tab w:val="left" w:pos="480"/>
        </w:tabs>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0B3023A0">
      <w:pPr>
        <w:tabs>
          <w:tab w:val="left" w:pos="480"/>
        </w:tabs>
        <w:rPr>
          <w:rFonts w:hint="eastAsia" w:ascii="仿宋" w:hAnsi="仿宋" w:eastAsia="仿宋" w:cs="仿宋"/>
          <w:color w:val="auto"/>
          <w:sz w:val="24"/>
          <w:highlight w:val="none"/>
        </w:rPr>
      </w:pPr>
    </w:p>
    <w:p w14:paraId="40A807CC">
      <w:pPr>
        <w:widowControl/>
        <w:spacing w:line="48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77A337A5">
      <w:pPr>
        <w:widowControl/>
        <w:spacing w:line="480" w:lineRule="auto"/>
        <w:jc w:val="left"/>
        <w:rPr>
          <w:rFonts w:hint="eastAsia" w:ascii="仿宋" w:hAnsi="仿宋" w:eastAsia="仿宋" w:cs="仿宋"/>
          <w:color w:val="auto"/>
          <w:sz w:val="24"/>
          <w:highlight w:val="none"/>
        </w:rPr>
      </w:pPr>
    </w:p>
    <w:p w14:paraId="0CEC84C7">
      <w:pPr>
        <w:widowControl/>
        <w:spacing w:line="48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甲方（公章）                        乙方（公章）</w:t>
      </w:r>
    </w:p>
    <w:p w14:paraId="0859317B">
      <w:pPr>
        <w:tabs>
          <w:tab w:val="left" w:pos="480"/>
        </w:tabs>
        <w:spacing w:line="480" w:lineRule="auto"/>
        <w:ind w:left="6240" w:hanging="6240" w:hangingChars="2600"/>
        <w:rPr>
          <w:rFonts w:hint="eastAsia" w:ascii="仿宋" w:hAnsi="仿宋" w:eastAsia="仿宋" w:cs="仿宋"/>
          <w:color w:val="auto"/>
          <w:sz w:val="24"/>
          <w:highlight w:val="none"/>
        </w:rPr>
      </w:pPr>
    </w:p>
    <w:p w14:paraId="4CEA2508">
      <w:pPr>
        <w:tabs>
          <w:tab w:val="left" w:pos="480"/>
        </w:tabs>
        <w:spacing w:line="480" w:lineRule="auto"/>
        <w:ind w:left="6240" w:hanging="6240" w:hangingChars="260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单位名称：西安市中心医院                单位名称:</w:t>
      </w:r>
    </w:p>
    <w:p w14:paraId="050ED731">
      <w:pPr>
        <w:spacing w:line="480" w:lineRule="auto"/>
        <w:ind w:left="6000" w:hanging="6000" w:hangingChars="2500"/>
        <w:rPr>
          <w:rFonts w:hint="eastAsia" w:ascii="仿宋" w:hAnsi="仿宋" w:eastAsia="仿宋" w:cs="仿宋"/>
          <w:color w:val="auto"/>
          <w:sz w:val="24"/>
          <w:highlight w:val="none"/>
        </w:rPr>
      </w:pPr>
    </w:p>
    <w:p w14:paraId="108839C7">
      <w:pPr>
        <w:spacing w:line="480" w:lineRule="auto"/>
        <w:ind w:left="6000" w:hanging="6000" w:hangingChars="25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地址：西安市西五路161号                地址：</w:t>
      </w:r>
      <w:r>
        <w:rPr>
          <w:rFonts w:hint="eastAsia" w:ascii="仿宋" w:hAnsi="仿宋" w:eastAsia="仿宋" w:cs="仿宋"/>
          <w:bCs/>
          <w:color w:val="auto"/>
          <w:sz w:val="24"/>
          <w:highlight w:val="none"/>
        </w:rPr>
        <w:t xml:space="preserve"> </w:t>
      </w:r>
    </w:p>
    <w:p w14:paraId="0F3AFB6A">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B25B7E3">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                    法定代表人：（签字）</w:t>
      </w:r>
    </w:p>
    <w:p w14:paraId="25EE898B">
      <w:pPr>
        <w:tabs>
          <w:tab w:val="left" w:pos="480"/>
        </w:tabs>
        <w:spacing w:line="480" w:lineRule="auto"/>
        <w:rPr>
          <w:rFonts w:hint="eastAsia" w:ascii="仿宋" w:hAnsi="仿宋" w:eastAsia="仿宋" w:cs="仿宋"/>
          <w:color w:val="auto"/>
          <w:sz w:val="24"/>
          <w:highlight w:val="none"/>
        </w:rPr>
      </w:pPr>
    </w:p>
    <w:p w14:paraId="54CCC9E9">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代理人：（签字）                        代理人：（签字）</w:t>
      </w:r>
    </w:p>
    <w:p w14:paraId="642B0129">
      <w:pPr>
        <w:tabs>
          <w:tab w:val="left" w:pos="480"/>
        </w:tabs>
        <w:spacing w:line="48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7B8D51D4">
      <w:pPr>
        <w:tabs>
          <w:tab w:val="left" w:pos="480"/>
        </w:tabs>
        <w:spacing w:line="48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帐号：</w:t>
      </w:r>
    </w:p>
    <w:p w14:paraId="33D3246F">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签订日期：   年    月    日             签订日期：   年    月    日</w:t>
      </w:r>
    </w:p>
    <w:p w14:paraId="19025228">
      <w:pPr>
        <w:tabs>
          <w:tab w:val="left" w:pos="480"/>
        </w:tabs>
        <w:rPr>
          <w:rFonts w:hint="eastAsia" w:ascii="仿宋" w:hAnsi="仿宋" w:eastAsia="仿宋" w:cs="仿宋"/>
          <w:color w:val="auto"/>
          <w:sz w:val="24"/>
          <w:highlight w:val="none"/>
        </w:rPr>
      </w:pPr>
    </w:p>
    <w:p w14:paraId="3917D7E5">
      <w:pPr>
        <w:tabs>
          <w:tab w:val="left" w:pos="480"/>
        </w:tabs>
        <w:rPr>
          <w:rFonts w:hint="eastAsia" w:ascii="仿宋" w:hAnsi="仿宋" w:eastAsia="仿宋" w:cs="仿宋"/>
          <w:color w:val="auto"/>
          <w:sz w:val="24"/>
          <w:highlight w:val="none"/>
        </w:rPr>
      </w:pPr>
    </w:p>
    <w:p w14:paraId="76B493BE">
      <w:pPr>
        <w:tabs>
          <w:tab w:val="left" w:pos="480"/>
        </w:tabs>
        <w:rPr>
          <w:rFonts w:hint="eastAsia" w:ascii="仿宋" w:hAnsi="仿宋" w:eastAsia="仿宋" w:cs="仿宋"/>
          <w:color w:val="auto"/>
          <w:sz w:val="24"/>
          <w:highlight w:val="none"/>
        </w:rPr>
      </w:pPr>
    </w:p>
    <w:p w14:paraId="66681592">
      <w:pPr>
        <w:tabs>
          <w:tab w:val="left" w:pos="480"/>
        </w:tabs>
        <w:rPr>
          <w:rFonts w:hint="eastAsia" w:ascii="仿宋" w:hAnsi="仿宋" w:eastAsia="仿宋" w:cs="仿宋"/>
          <w:color w:val="auto"/>
          <w:sz w:val="24"/>
          <w:highlight w:val="none"/>
        </w:rPr>
      </w:pPr>
    </w:p>
    <w:p w14:paraId="13A8C415">
      <w:pPr>
        <w:tabs>
          <w:tab w:val="left" w:pos="480"/>
        </w:tabs>
        <w:rPr>
          <w:rFonts w:hint="eastAsia" w:ascii="仿宋" w:hAnsi="仿宋" w:eastAsia="仿宋" w:cs="仿宋"/>
          <w:color w:val="auto"/>
          <w:sz w:val="24"/>
          <w:highlight w:val="none"/>
        </w:rPr>
      </w:pPr>
    </w:p>
    <w:p w14:paraId="7B314BCF">
      <w:pPr>
        <w:tabs>
          <w:tab w:val="left" w:pos="480"/>
        </w:tabs>
        <w:rPr>
          <w:rFonts w:hint="eastAsia" w:ascii="仿宋" w:hAnsi="仿宋" w:eastAsia="仿宋" w:cs="仿宋"/>
          <w:color w:val="auto"/>
          <w:sz w:val="24"/>
          <w:highlight w:val="none"/>
        </w:rPr>
      </w:pPr>
    </w:p>
    <w:p w14:paraId="6EA38E8A">
      <w:pPr>
        <w:tabs>
          <w:tab w:val="left" w:pos="480"/>
        </w:tabs>
        <w:rPr>
          <w:rFonts w:hint="eastAsia" w:ascii="仿宋" w:hAnsi="仿宋" w:eastAsia="仿宋" w:cs="仿宋"/>
          <w:color w:val="auto"/>
          <w:sz w:val="24"/>
          <w:highlight w:val="none"/>
        </w:rPr>
      </w:pPr>
    </w:p>
    <w:p w14:paraId="43819ECB">
      <w:pPr>
        <w:tabs>
          <w:tab w:val="left" w:pos="480"/>
        </w:tabs>
        <w:rPr>
          <w:rFonts w:hint="eastAsia" w:ascii="仿宋" w:hAnsi="仿宋" w:eastAsia="仿宋" w:cs="仿宋"/>
          <w:color w:val="auto"/>
          <w:sz w:val="24"/>
          <w:highlight w:val="none"/>
        </w:rPr>
      </w:pPr>
    </w:p>
    <w:p w14:paraId="49E8C6B1">
      <w:pPr>
        <w:tabs>
          <w:tab w:val="left" w:pos="480"/>
        </w:tabs>
        <w:rPr>
          <w:rFonts w:hint="eastAsia" w:ascii="仿宋" w:hAnsi="仿宋" w:eastAsia="仿宋" w:cs="仿宋"/>
          <w:color w:val="auto"/>
          <w:sz w:val="24"/>
          <w:highlight w:val="none"/>
        </w:rPr>
      </w:pPr>
    </w:p>
    <w:p w14:paraId="258B0149">
      <w:pPr>
        <w:pStyle w:val="5"/>
        <w:ind w:firstLine="480"/>
        <w:rPr>
          <w:rFonts w:hint="eastAsia" w:ascii="仿宋" w:hAnsi="仿宋" w:eastAsia="仿宋" w:cs="仿宋"/>
          <w:color w:val="auto"/>
          <w:highlight w:val="none"/>
        </w:rPr>
      </w:pPr>
    </w:p>
    <w:p w14:paraId="724034BF">
      <w:pPr>
        <w:pStyle w:val="2"/>
        <w:rPr>
          <w:rFonts w:hint="eastAsia" w:ascii="仿宋" w:hAnsi="仿宋" w:eastAsia="仿宋" w:cs="仿宋"/>
          <w:color w:val="auto"/>
          <w:highlight w:val="none"/>
        </w:rPr>
      </w:pPr>
    </w:p>
    <w:p w14:paraId="2CB80F48">
      <w:pPr>
        <w:tabs>
          <w:tab w:val="left" w:pos="4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附件一：配置清单</w:t>
      </w:r>
    </w:p>
    <w:p w14:paraId="5EE53C85">
      <w:pPr>
        <w:tabs>
          <w:tab w:val="left" w:pos="480"/>
        </w:tabs>
        <w:rPr>
          <w:rFonts w:hint="eastAsia" w:ascii="仿宋" w:hAnsi="仿宋" w:eastAsia="仿宋" w:cs="仿宋"/>
          <w:color w:val="auto"/>
          <w:sz w:val="24"/>
          <w:highlight w:val="none"/>
        </w:rPr>
      </w:pPr>
    </w:p>
    <w:p w14:paraId="65EFAB80">
      <w:pPr>
        <w:tabs>
          <w:tab w:val="left" w:pos="4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附件二：设备参数</w:t>
      </w:r>
    </w:p>
    <w:p w14:paraId="720853FF">
      <w:pPr>
        <w:pStyle w:val="4"/>
        <w:rPr>
          <w:rFonts w:hint="eastAsia" w:ascii="仿宋" w:hAnsi="仿宋" w:eastAsia="仿宋" w:cs="仿宋"/>
          <w:color w:val="auto"/>
          <w:sz w:val="24"/>
          <w:highlight w:val="none"/>
        </w:rPr>
      </w:pPr>
    </w:p>
    <w:p w14:paraId="3F991A12">
      <w:pPr>
        <w:pStyle w:val="8"/>
        <w:rPr>
          <w:rFonts w:hint="eastAsia"/>
          <w:lang w:val="en-US" w:eastAsia="zh-Hans"/>
        </w:rPr>
      </w:pPr>
      <w:r>
        <w:rPr>
          <w:rFonts w:hint="eastAsia" w:ascii="仿宋" w:hAnsi="仿宋" w:eastAsia="仿宋" w:cs="仿宋"/>
          <w:b/>
          <w:bCs/>
          <w:color w:val="auto"/>
          <w:sz w:val="24"/>
          <w:highlight w:val="none"/>
        </w:rPr>
        <w:t>备注：</w:t>
      </w:r>
      <w:r>
        <w:rPr>
          <w:rFonts w:hint="eastAsia" w:ascii="仿宋" w:hAnsi="仿宋" w:eastAsia="仿宋" w:cs="仿宋"/>
          <w:b/>
          <w:bCs/>
          <w:color w:val="auto"/>
          <w:sz w:val="24"/>
          <w:highlight w:val="none"/>
          <w:lang w:val="zh-CN"/>
        </w:rPr>
        <w:t>供货合同与技术参数不一致的以招标文件正本技术参数为准。</w:t>
      </w:r>
    </w:p>
    <w:p w14:paraId="023F75A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9759C"/>
    <w:rsid w:val="4E397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Body Text First Indent 2"/>
    <w:basedOn w:val="3"/>
    <w:next w:val="1"/>
    <w:qFormat/>
    <w:uiPriority w:val="0"/>
    <w:pPr>
      <w:spacing w:after="0" w:line="360" w:lineRule="auto"/>
      <w:ind w:left="0" w:leftChars="0" w:firstLine="420" w:firstLineChars="200"/>
    </w:pPr>
    <w:rPr>
      <w:rFonts w:ascii="Calibri" w:hAnsi="Calibri"/>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2026-08-05T03:47:00Z</dcterms:created>
  <dc:creator>在民生门口吃包子</dc:creator>
  <cp:lastModifiedBy>在民生门口吃包子</cp:lastModifiedBy>
  <dcterms:modified xsi:type="dcterms:W3CDTF">2026-08-05T03:47:23Z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2896F5173D7F4C2D85B626C8E492E185_11</vt:lpwstr>
  </property>
  <property fmtid="{D5CDD505-2E9C-101B-9397-08002B2CF9AE}" pid="4" name="KSOTemplateDocerSaveRecord">
    <vt:lpwstr>eyJoZGlkIjoiMGNjN2I1YWJkMTRkMTg5NTVlY2NjYTlhMTE3MTdlODUiLCJ1c2VySWQiOiI5NTE5OTg5MTAifQ==</vt:lpwstr>
  </property>
</Properties>
</file>