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版本号：SXZX-2026-00720260717002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水工隧洞盾构法高水压复杂地层关键修建与防水技术研究</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SXZX-2026-007</w:t>
      </w:r>
      <w:r>
        <w:br/>
      </w:r>
      <w:r>
        <w:br/>
      </w:r>
      <w:r>
        <w:br/>
      </w:r>
    </w:p>
    <w:p>
      <w:pPr>
        <w:pStyle w:val="null3"/>
        <w:jc w:val="center"/>
        <w:outlineLvl w:val="2"/>
      </w:pPr>
      <w:r>
        <w:rPr>
          <w:rFonts w:ascii="仿宋_GB2312" w:hAnsi="仿宋_GB2312" w:cs="仿宋_GB2312" w:eastAsia="仿宋_GB2312"/>
          <w:sz w:val="28"/>
          <w:b/>
        </w:rPr>
        <w:t>陕西省水利发展调查与引汉济渭工程协调中心</w:t>
      </w:r>
    </w:p>
    <w:p>
      <w:pPr>
        <w:pStyle w:val="null3"/>
        <w:jc w:val="center"/>
        <w:outlineLvl w:val="2"/>
      </w:pPr>
      <w:r>
        <w:rPr>
          <w:rFonts w:ascii="仿宋_GB2312" w:hAnsi="仿宋_GB2312" w:cs="仿宋_GB2312" w:eastAsia="仿宋_GB2312"/>
          <w:sz w:val="28"/>
          <w:b/>
        </w:rPr>
        <w:t>陕西湛信工程管理有限公司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陕西湛信工程管理有限公司</w:t>
      </w:r>
      <w:r>
        <w:rPr>
          <w:rFonts w:ascii="仿宋_GB2312" w:hAnsi="仿宋_GB2312" w:cs="仿宋_GB2312" w:eastAsia="仿宋_GB2312"/>
        </w:rPr>
        <w:t>（以下简称“代理机构”）受</w:t>
      </w:r>
      <w:r>
        <w:rPr>
          <w:rFonts w:ascii="仿宋_GB2312" w:hAnsi="仿宋_GB2312" w:cs="仿宋_GB2312" w:eastAsia="仿宋_GB2312"/>
        </w:rPr>
        <w:t>陕西省水利发展调查与引汉济渭工程协调中心</w:t>
      </w:r>
      <w:r>
        <w:rPr>
          <w:rFonts w:ascii="仿宋_GB2312" w:hAnsi="仿宋_GB2312" w:cs="仿宋_GB2312" w:eastAsia="仿宋_GB2312"/>
        </w:rPr>
        <w:t>委托，拟对</w:t>
      </w:r>
      <w:r>
        <w:rPr>
          <w:rFonts w:ascii="仿宋_GB2312" w:hAnsi="仿宋_GB2312" w:cs="仿宋_GB2312" w:eastAsia="仿宋_GB2312"/>
        </w:rPr>
        <w:t>水工隧洞盾构法高水压复杂地层关键修建与防水技术研究</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SXZX-2026-007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水工隧洞盾构法高水压复杂地层关键修建与防水技术研究</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针对高水压复杂地层水工隧洞特点，开展水工盾构隧洞关键修建技术与防水技术试验研究，完成研究总报告及高水压砂岩施工、高水压砂卵石地层施工、高水压作用下防水技术等专题研究报告。</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 织或自然人：提供营业执照、组织机构代码证、税务登记证（三证合一只提供营业执照，事业单位提供事业单位法人证书，自然人应提供身份证）合法有效；供应商需在项目电子化交易系统中按要求上传相应证明 文件并进行电子签章。</w:t>
      </w:r>
    </w:p>
    <w:p>
      <w:pPr>
        <w:pStyle w:val="null3"/>
      </w:pPr>
      <w:r>
        <w:rPr>
          <w:rFonts w:ascii="仿宋_GB2312" w:hAnsi="仿宋_GB2312" w:cs="仿宋_GB2312" w:eastAsia="仿宋_GB2312"/>
        </w:rPr>
        <w:t>2、法定代表人身份证明或授权委托书：法定代表人参加投标时，提供法定代表人身份证明及本人身份证复印件；授权代表参加投标时，提供法定代表人授权书和被授权人身份证复印件；非法人单位参照执行；供应商需在项目电子化交易系统中按要求上传相应证明文件并进行电子签章。</w:t>
      </w:r>
    </w:p>
    <w:p>
      <w:pPr>
        <w:pStyle w:val="null3"/>
      </w:pPr>
      <w:r>
        <w:rPr>
          <w:rFonts w:ascii="仿宋_GB2312" w:hAnsi="仿宋_GB2312" w:cs="仿宋_GB2312" w:eastAsia="仿宋_GB2312"/>
        </w:rPr>
        <w:t>3、供应商应提供健全的财务会计制度的证明材料。：供应商需在项目电子化交易系统中上传提供2024年度或2025年度任意一年经审计的财务报告（成立时间至响应文件提交截止时间不足一年的可提供成立后任意时段的资产负债表），或响应文件提交截止时间三个月内基本账户开户银行出具的资信证明及基本存款账户信息（以上两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4、参加政府采购活动前三年内，在经营活动中没有重大违法记录的书面声明：参加政府采购活动前三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5、供应商提供具有履行合同所必需的设备和专业技术能力的承诺：供应商提供具有履行合同所必需的设备和专业技术能力的承诺，供应商需在项目电子化交易系统中按要求上传相应证明文件并进行电子签章。</w:t>
      </w:r>
    </w:p>
    <w:p>
      <w:pPr>
        <w:pStyle w:val="null3"/>
      </w:pPr>
      <w:r>
        <w:rPr>
          <w:rFonts w:ascii="仿宋_GB2312" w:hAnsi="仿宋_GB2312" w:cs="仿宋_GB2312" w:eastAsia="仿宋_GB2312"/>
        </w:rPr>
        <w:t>6、税收证明：提供开标前一年内已缴纳任意一个月完税凭证或税务机关开具的完税证明（任意税种）；依法免税的应提供相关文件证明；供应商需在项目电子化交易系统中按要求上传相应证明文件并进行电子签章。</w:t>
      </w:r>
    </w:p>
    <w:p>
      <w:pPr>
        <w:pStyle w:val="null3"/>
      </w:pPr>
      <w:r>
        <w:rPr>
          <w:rFonts w:ascii="仿宋_GB2312" w:hAnsi="仿宋_GB2312" w:cs="仿宋_GB2312" w:eastAsia="仿宋_GB2312"/>
        </w:rPr>
        <w:t>7、社会保障资金缴纳证明：提供开标前一年内已缴存的任意一个月的社会保障资金缴存证明或社保机构开具的社会保险参保缴费情况证明；依法不需要缴纳社会保障资金的应提供相关文件证明；供应商需在项目电子化交易系统中按要求上传相应证明文件并进行电子签章。</w:t>
      </w:r>
    </w:p>
    <w:p>
      <w:pPr>
        <w:pStyle w:val="null3"/>
      </w:pPr>
      <w:r>
        <w:rPr>
          <w:rFonts w:ascii="仿宋_GB2312" w:hAnsi="仿宋_GB2312" w:cs="仿宋_GB2312" w:eastAsia="仿宋_GB2312"/>
        </w:rPr>
        <w:t>8、信用查询：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供应商需在项目电子化交易系统中按要求上传相应证明文件并进行电子签章。</w:t>
      </w:r>
    </w:p>
    <w:p>
      <w:pPr>
        <w:pStyle w:val="null3"/>
      </w:pPr>
      <w:r>
        <w:rPr>
          <w:rFonts w:ascii="仿宋_GB2312" w:hAnsi="仿宋_GB2312" w:cs="仿宋_GB2312" w:eastAsia="仿宋_GB2312"/>
        </w:rPr>
        <w:t>9、本项目不接受联合体投标：本项目不接受联合体投标，供应商需在项目电子化交易系统中按要求上传相应承诺并进行电子签章。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陕西省水利发展调查与引汉济渭工程协调中心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西安市新城区西七路198号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029-61835356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陕西湛信工程管理有限公司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陕西省西安市未央区凤城八路与民经一路十字湖北大厦2号楼1501室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18334790172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及发改办价格[2003]857号通知规定收取代理服务费，由成交供应商在领取成交通知书前，向采购代理机构一次性支付招标代理服务费。户名：陕西湛信工程管理有限公司 开户行：中信银行西安高新路支行 账号：8111701013100609658。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陕西省水利发展调查与引汉济渭工程协调中心</w:t>
      </w:r>
      <w:r>
        <w:rPr>
          <w:rFonts w:ascii="仿宋_GB2312" w:hAnsi="仿宋_GB2312" w:cs="仿宋_GB2312" w:eastAsia="仿宋_GB2312"/>
        </w:rPr>
        <w:t>和</w:t>
      </w:r>
      <w:r>
        <w:rPr>
          <w:rFonts w:ascii="仿宋_GB2312" w:hAnsi="仿宋_GB2312" w:cs="仿宋_GB2312" w:eastAsia="仿宋_GB2312"/>
        </w:rPr>
        <w:t>陕西湛信工程管理有限公司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陕西省水利发展调查与引汉济渭工程协调中心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陕西湛信工程管理有限公司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陕西省水利发展调查与引汉济渭工程协调中心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陕西湛信工程管理有限公司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⼀、供应商应保证在本项⽬中使⽤的任何技术、产品和服务（包括部分使⽤），不会产⽣因第三⽅提出侵犯其专利权、商 标权或其它知识产权⽽引起的法律和经济纠纷，如存在前述情形，由供应商承担所有相关责任。采购⼈享有本项⽬实施过程中 产⽣的知识成果及知识产权。 ⼆、供应商将在采购项⽬实施过程中采⽤⾃有或者第三⽅知识成果的，使⽤该知识成果后，供 应商需提供开发接⼝和开发⼿册等技术资料，并承诺提供⽆限期⽀持，采购⼈享有使⽤权（含采购⼈委托第三⽅在该项⽬后续 开发的使⽤权）。 三、如采⽤供应商所不拥有的知识产权，则在报价中必须包括合法使⽤该知识产权的相关费⽤。 四、构成 本磋商⽂件的各组成部分，未经采购⼈书⾯同意，供应商不得擅⾃复印或⽤于⾮本磋商项⽬所需的其他⽬的。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按国家有关规定以及磋商文件的要求、供应商的响应文件及承诺与本项目合同约定标准进行验收。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陕西湛信工程管理有限公司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陕西湛信工程管理有限公司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陕西湛信工程管理有限公司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联系人：杨萌</w:t>
      </w:r>
    </w:p>
    <w:p>
      <w:pPr>
        <w:pStyle w:val="null3"/>
      </w:pPr>
      <w:r>
        <w:rPr>
          <w:rFonts w:ascii="仿宋_GB2312" w:hAnsi="仿宋_GB2312" w:cs="仿宋_GB2312" w:eastAsia="仿宋_GB2312"/>
        </w:rPr>
        <w:t>联系电话：18334790172</w:t>
      </w:r>
    </w:p>
    <w:p>
      <w:pPr>
        <w:pStyle w:val="null3"/>
      </w:pPr>
      <w:r>
        <w:rPr>
          <w:rFonts w:ascii="仿宋_GB2312" w:hAnsi="仿宋_GB2312" w:cs="仿宋_GB2312" w:eastAsia="仿宋_GB2312"/>
        </w:rPr>
        <w:t>地址：陕西省西安市未央区凤城⼋路与⺠经⼀路⼗字湖北⼤厦2号楼1501室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针对高水压复杂地层水工隧洞特点，开展水工盾构隧洞关键修建技术与防水技术试验研究，完成研究总报告及高水压砂岩施工、高水压砂卵石地层施工、高水压作用下防水技术等专题研究报告。</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750,000.00</w:t>
      </w:r>
    </w:p>
    <w:p>
      <w:pPr>
        <w:pStyle w:val="null3"/>
      </w:pPr>
      <w:r>
        <w:rPr>
          <w:rFonts w:ascii="仿宋_GB2312" w:hAnsi="仿宋_GB2312" w:cs="仿宋_GB2312" w:eastAsia="仿宋_GB2312"/>
        </w:rPr>
        <w:t>采购包最高限价（元）: 750,000.00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水工隧洞盾构法高水压复杂地层关键修建与防水技术研究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标的名称：水工隧洞盾构法高水压复杂地层关键修建与防水技术研究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20"/>
              <w:tblBorders>
                <w:top w:val="none" w:color="000000" w:sz="4"/>
                <w:left w:val="none" w:color="000000" w:sz="4"/>
                <w:bottom w:val="none" w:color="000000" w:sz="4"/>
                <w:right w:val="none" w:color="000000" w:sz="4"/>
                <w:insideH w:val="none"/>
                <w:insideV w:val="none"/>
              </w:tblBorders>
            </w:tblPr>
            <w:tblGrid>
              <w:gridCol w:w="250"/>
              <w:gridCol w:w="192"/>
              <w:gridCol w:w="2106"/>
            </w:tblGrid>
            <w:tr>
              <w:tc>
                <w:tcPr>
                  <w:tcW w:type="dxa" w:w="25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05"/>
                  </w:pPr>
                  <w:r>
                    <w:rPr>
                      <w:rFonts w:ascii="仿宋_GB2312" w:hAnsi="仿宋_GB2312" w:cs="仿宋_GB2312" w:eastAsia="仿宋_GB2312"/>
                      <w:sz w:val="19"/>
                      <w:b/>
                      <w:color w:val="000000"/>
                    </w:rPr>
                    <w:t>参数性质</w:t>
                  </w:r>
                </w:p>
              </w:tc>
              <w:tc>
                <w:tcPr>
                  <w:tcW w:type="dxa" w:w="19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90"/>
                  </w:pPr>
                  <w:r>
                    <w:rPr>
                      <w:rFonts w:ascii="仿宋_GB2312" w:hAnsi="仿宋_GB2312" w:cs="仿宋_GB2312" w:eastAsia="仿宋_GB2312"/>
                      <w:sz w:val="19"/>
                      <w:b/>
                      <w:color w:val="000000"/>
                    </w:rPr>
                    <w:t>序号</w:t>
                  </w:r>
                </w:p>
              </w:tc>
              <w:tc>
                <w:tcPr>
                  <w:tcW w:type="dxa" w:w="210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90"/>
                  </w:pPr>
                  <w:r>
                    <w:rPr>
                      <w:rFonts w:ascii="仿宋_GB2312" w:hAnsi="仿宋_GB2312" w:cs="仿宋_GB2312" w:eastAsia="仿宋_GB2312"/>
                      <w:sz w:val="19"/>
                      <w:b/>
                      <w:color w:val="000000"/>
                    </w:rPr>
                    <w:t>技术参数与性能指标</w:t>
                  </w:r>
                </w:p>
              </w:tc>
            </w:tr>
            <w:tr>
              <w:tc>
                <w:tcPr>
                  <w:tcW w:type="dxa" w:w="25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p>
              </w:tc>
              <w:tc>
                <w:tcPr>
                  <w:tcW w:type="dxa" w:w="19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9"/>
                      <w:b/>
                      <w:color w:val="000000"/>
                    </w:rPr>
                    <w:t>1</w:t>
                  </w:r>
                </w:p>
              </w:tc>
              <w:tc>
                <w:tcPr>
                  <w:tcW w:type="dxa" w:w="210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pPr>
                  <w:r>
                    <w:rPr>
                      <w:rFonts w:ascii="仿宋_GB2312" w:hAnsi="仿宋_GB2312" w:cs="仿宋_GB2312" w:eastAsia="仿宋_GB2312"/>
                      <w:sz w:val="15"/>
                      <w:b/>
                      <w:color w:val="000000"/>
                    </w:rPr>
                    <w:t>1</w:t>
                  </w:r>
                  <w:r>
                    <w:rPr>
                      <w:rFonts w:ascii="仿宋_GB2312" w:hAnsi="仿宋_GB2312" w:cs="仿宋_GB2312" w:eastAsia="仿宋_GB2312"/>
                      <w:sz w:val="20"/>
                      <w:b/>
                      <w:color w:val="000000"/>
                    </w:rPr>
                    <w:t>.项目概况：</w:t>
                  </w:r>
                  <w:r>
                    <w:rPr>
                      <w:rFonts w:ascii="仿宋_GB2312" w:hAnsi="仿宋_GB2312" w:cs="仿宋_GB2312" w:eastAsia="仿宋_GB2312"/>
                      <w:sz w:val="20"/>
                      <w:color w:val="000000"/>
                    </w:rPr>
                    <w:t>针对高水压复杂地层水工隧洞特点，开展水工盾构隧洞关键修建技术与防水技术试验研究，完成研究总报告及高水压砂岩施工、高水压砂卵石地层施工、高水压作用下防水技术等专题研究报告。</w:t>
                  </w:r>
                </w:p>
                <w:p>
                  <w:pPr>
                    <w:pStyle w:val="null3"/>
                  </w:pPr>
                  <w:r>
                    <w:rPr>
                      <w:rFonts w:ascii="仿宋_GB2312" w:hAnsi="仿宋_GB2312" w:cs="仿宋_GB2312" w:eastAsia="仿宋_GB2312"/>
                      <w:sz w:val="20"/>
                      <w:b/>
                      <w:color w:val="000000"/>
                    </w:rPr>
                    <w:t>2.具体工作内容：</w:t>
                  </w:r>
                  <w:r>
                    <w:rPr>
                      <w:rFonts w:ascii="仿宋_GB2312" w:hAnsi="仿宋_GB2312" w:cs="仿宋_GB2312" w:eastAsia="仿宋_GB2312"/>
                      <w:sz w:val="20"/>
                      <w:color w:val="000000"/>
                    </w:rPr>
                    <w:t>依据国家及省级公共决策、水利建设管理相关政策要求，结合陕西省水利工程建设现状，适配新时期水利发展规划需求，开展高水压、复杂地层水工隧洞盾构法修建技术和防水技术研究。提出成套的高水头复杂底层水工盾构隧道修建技术，建立水工盾构隧洞防水技术，形成盾构法施工水工隧洞变形控制体系，提升陕西水利项目决策科学化、风险管控水平。</w:t>
                  </w:r>
                </w:p>
                <w:p>
                  <w:pPr>
                    <w:pStyle w:val="null3"/>
                  </w:pPr>
                  <w:r>
                    <w:rPr>
                      <w:rFonts w:ascii="仿宋_GB2312" w:hAnsi="仿宋_GB2312" w:cs="仿宋_GB2312" w:eastAsia="仿宋_GB2312"/>
                      <w:sz w:val="20"/>
                      <w:b/>
                      <w:color w:val="000000"/>
                    </w:rPr>
                    <w:t>3.交付成果及交付要求：</w:t>
                  </w:r>
                </w:p>
                <w:p>
                  <w:pPr>
                    <w:pStyle w:val="null3"/>
                  </w:pPr>
                  <w:r>
                    <w:rPr>
                      <w:rFonts w:ascii="仿宋_GB2312" w:hAnsi="仿宋_GB2312" w:cs="仿宋_GB2312" w:eastAsia="仿宋_GB2312"/>
                      <w:sz w:val="20"/>
                      <w:b/>
                      <w:color w:val="000000"/>
                    </w:rPr>
                    <w:t>3.1交付成果：</w:t>
                  </w:r>
                  <w:r>
                    <w:rPr>
                      <w:rFonts w:ascii="仿宋_GB2312" w:hAnsi="仿宋_GB2312" w:cs="仿宋_GB2312" w:eastAsia="仿宋_GB2312"/>
                      <w:sz w:val="20"/>
                      <w:color w:val="000000"/>
                    </w:rPr>
                    <w:t>总研究报告</w:t>
                  </w:r>
                  <w:r>
                    <w:rPr>
                      <w:rFonts w:ascii="仿宋_GB2312" w:hAnsi="仿宋_GB2312" w:cs="仿宋_GB2312" w:eastAsia="仿宋_GB2312"/>
                      <w:sz w:val="20"/>
                      <w:color w:val="000000"/>
                    </w:rPr>
                    <w:t>1份，专题研究报告3份。</w:t>
                  </w:r>
                </w:p>
                <w:p>
                  <w:pPr>
                    <w:pStyle w:val="null3"/>
                  </w:pPr>
                  <w:r>
                    <w:rPr>
                      <w:rFonts w:ascii="仿宋_GB2312" w:hAnsi="仿宋_GB2312" w:cs="仿宋_GB2312" w:eastAsia="仿宋_GB2312"/>
                      <w:sz w:val="20"/>
                      <w:b/>
                      <w:color w:val="000000"/>
                    </w:rPr>
                    <w:t>3.2交付要求：</w:t>
                  </w:r>
                  <w:r>
                    <w:rPr>
                      <w:rFonts w:ascii="仿宋_GB2312" w:hAnsi="仿宋_GB2312" w:cs="仿宋_GB2312" w:eastAsia="仿宋_GB2312"/>
                      <w:sz w:val="20"/>
                      <w:color w:val="000000"/>
                    </w:rPr>
                    <w:t>项目实施过程及成果满足行业相关规范及采购人需求，并通过采购人组织的审查验收。</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有符合完成本项目服务内容的人员配置。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满足3.2.2服务要求。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供应商必须实行严格的质量管理，确保实现采购人的需求，对不符合合同要求或采购人需求的，成交供应商须无条件进行完善修改，直至达到要求为止。在项目负责人工作不得力的情况下（如技术不熟、管理不当等），采购人有权要求成交供应商更换项目负责人，由此造成的项目进度的延误，由成交供应商承担责任。</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自合同签订之日起120日历天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自行验收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进度款，自合同签订后，达到付款条件起10个工作日内，支付合同总金额的60.0%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进度款，提交初步成果并通过初验后，达到付款条件起10个工作日内，支付合同总金额的30.0%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进度款，全部工作完成并通过验收后，达到付款条件起10个工作日内，支付合同总金额的10.0%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应本着友好合作、积极协商的态度，严格履行本协议，因不可预见的因素或本协议未尽事宜发生争议，由双方协商解决,协商不成时，甲、乙双方同意提交西安仲裁委员会仲裁，仲裁裁决是终局的，对双方均有约束力。</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关于弃标的说明：按照《西安市财政局关于促进政府采购公平竞争优化营商环境的通知》（市财函〔2021〕431号）规定：供应商登记免费领取磋商文件的，如不参与项目磋商，应在提交磋商响应文件截止时间前一日以书面形式告知采购代理机构。否则，采购代理机构可以向财政部门反映情况并提供相应的佐证。供应商一年内累计出现三次该情形，将被监管部门记录为失信行为。 2、纸质版响应文件要求：成交供应商在领取成交通知书前，须向采购代理机构提供纸质版响应文件3套（1正2副），U盘2份（包括响应文件的全部内容）且提供的响应文件必须与在陕西省政府采购综合管理平台的项目电子化交易系统中提交的电子响应文件内容一致，纸质版响应文件必须装订成册签字盖章。 3、支付进度以第八章拟签订采购合同文本为准。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 织或自然人</w:t>
            </w:r>
          </w:p>
        </w:tc>
        <w:tc>
          <w:tcPr>
            <w:tcW w:type="dxa" w:w="3322"/>
          </w:tcPr>
          <w:p>
            <w:pPr>
              <w:pStyle w:val="null3"/>
            </w:pPr>
            <w:r>
              <w:rPr>
                <w:rFonts w:ascii="仿宋_GB2312" w:hAnsi="仿宋_GB2312" w:cs="仿宋_GB2312" w:eastAsia="仿宋_GB2312"/>
              </w:rPr>
              <w:t>提供营业执照、组织机构代码证、税务登记证（三证合一只提供营业执照，事业单位提供事业单位法人证书，自然人应提供身份证）合法有效；供应商需在项目电子化交易系统中按要求上传相应证明 文件并进行电子签章。</w:t>
            </w:r>
          </w:p>
        </w:tc>
        <w:tc>
          <w:tcPr>
            <w:tcW w:type="dxa" w:w="1661"/>
          </w:tcPr>
          <w:p>
            <w:pPr>
              <w:pStyle w:val="null3"/>
            </w:pPr>
            <w:r>
              <w:rPr>
                <w:rFonts w:ascii="仿宋_GB2312" w:hAnsi="仿宋_GB2312" w:cs="仿宋_GB2312" w:eastAsia="仿宋_GB2312"/>
              </w:rPr>
              <w:t>供应商资格证明文件.docx 响应函 陕西省政府采购供应商拒绝政府采购领域商业贿赂承诺书.docx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参加投标时，提供法定代表人身份证明及本人身份证复印件；授权代表参加投标时，提供法定代表人授权书和被授权人身份证复印件；非法人单位参照执行；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 响应函 陕西省政府采购供应商拒绝政府采购领域商业贿赂承诺书.docx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上传提供2024年度或2025年度任意一年经审计的财务报告（成立时间至响应文件提交截止时间不足一年的可提供成立后任意时段的资产负债表），或响应文件提交截止时间三个月内基本账户开户银行出具的资信证明及基本存款账户信息（以上两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 响应函 陕西省政府采购供应商拒绝政府采购领域商业贿赂承诺书.docx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参加政府采购活动前三年内，在经营活动中没有重大违法记录的书面声明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 响应函 陕西省政府采购供应商拒绝政府采购领域商业贿赂承诺书.docx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供应商提供具有履行合同所必需的设备和专业技术能力的承诺</w:t>
            </w:r>
          </w:p>
        </w:tc>
        <w:tc>
          <w:tcPr>
            <w:tcW w:type="dxa" w:w="3322"/>
          </w:tcPr>
          <w:p>
            <w:pPr>
              <w:pStyle w:val="null3"/>
            </w:pPr>
            <w:r>
              <w:rPr>
                <w:rFonts w:ascii="仿宋_GB2312" w:hAnsi="仿宋_GB2312" w:cs="仿宋_GB2312" w:eastAsia="仿宋_GB2312"/>
              </w:rPr>
              <w:t>供应商提供具有履行合同所必需的设备和专业技术能力的承诺，供应商需在项目电子化交易系统中按要求上传相应证明文件并进行电子签章。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 响应函 陕西省政府采购供应商拒绝政府采购领域商业贿赂承诺书.docx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税收证明</w:t>
            </w:r>
          </w:p>
        </w:tc>
        <w:tc>
          <w:tcPr>
            <w:tcW w:type="dxa" w:w="3322"/>
          </w:tcPr>
          <w:p>
            <w:pPr>
              <w:pStyle w:val="null3"/>
            </w:pPr>
            <w:r>
              <w:rPr>
                <w:rFonts w:ascii="仿宋_GB2312" w:hAnsi="仿宋_GB2312" w:cs="仿宋_GB2312" w:eastAsia="仿宋_GB2312"/>
              </w:rPr>
              <w:t>提供开标前一年内已缴纳任意一个月完税凭证或税务机关开具的完税证明（任意税种）；依法免税的应提供相关文件证明；供应商需在项目电子化交易系统中按要求上传相应证明文件并进行电子签章。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 响应函 陕西省政府采购供应商拒绝政府采购领域商业贿赂承诺书.docx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前一年内已缴存的任意一个月的社会保障资金缴存证明或社保机构开具的社会保险参保缴费情况证明；依法不需要缴纳社会保障资金的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 响应函 陕西省政府采购供应商拒绝政府采购领域商业贿赂承诺书.docx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 响应函 陕西省政府采购供应商拒绝政府采购领域商业贿赂承诺书.docx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本项目不接受联合体投标，供应商需在项目电子化交易系统中按要求上传相应承诺并进行电子签章。</w:t>
            </w:r>
          </w:p>
        </w:tc>
        <w:tc>
          <w:tcPr>
            <w:tcW w:type="dxa" w:w="1661"/>
          </w:tcPr>
          <w:p>
            <w:pPr>
              <w:pStyle w:val="null3"/>
            </w:pPr>
            <w:r>
              <w:rPr>
                <w:rFonts w:ascii="仿宋_GB2312" w:hAnsi="仿宋_GB2312" w:cs="仿宋_GB2312" w:eastAsia="仿宋_GB2312"/>
              </w:rPr>
              <w:t>供应商资格证明文件.docx 响应函 陕西省政府采购供应商拒绝政府采购领域商业贿赂承诺书.docx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响应文件的签字盖章</w:t>
            </w:r>
          </w:p>
        </w:tc>
        <w:tc>
          <w:tcPr>
            <w:tcW w:type="dxa" w:w="3322"/>
          </w:tcPr>
          <w:p>
            <w:pPr>
              <w:pStyle w:val="null3"/>
            </w:pPr>
            <w:r>
              <w:rPr>
                <w:rFonts w:ascii="仿宋_GB2312" w:hAnsi="仿宋_GB2312" w:cs="仿宋_GB2312" w:eastAsia="仿宋_GB2312"/>
              </w:rPr>
              <w:t>磋商响应⽂件的签字盖章符合采购⽂件要求</w:t>
            </w:r>
          </w:p>
        </w:tc>
        <w:tc>
          <w:tcPr>
            <w:tcW w:type="dxa" w:w="1661"/>
          </w:tcPr>
          <w:p>
            <w:pPr>
              <w:pStyle w:val="null3"/>
            </w:pPr>
            <w:r>
              <w:rPr>
                <w:rFonts w:ascii="仿宋_GB2312" w:hAnsi="仿宋_GB2312" w:cs="仿宋_GB2312" w:eastAsia="仿宋_GB2312"/>
              </w:rPr>
              <w:t>响应文件封面 服务内容及服务要求应答表.docx 商务应答表.docx 供应商资格证明文件.docx 响应函 陕西省政府采购供应商拒绝政府采购领域商业贿赂承诺书.docx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满足竞争性磋商文件要求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满足竞争性磋商文件要求</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项目的理解和认识</w:t>
            </w:r>
          </w:p>
        </w:tc>
        <w:tc>
          <w:tcPr>
            <w:tcW w:type="dxa" w:w="2492"/>
          </w:tcPr>
          <w:p>
            <w:pPr>
              <w:pStyle w:val="null3"/>
            </w:pPr>
            <w:r>
              <w:rPr>
                <w:rFonts w:ascii="仿宋_GB2312" w:hAnsi="仿宋_GB2312" w:cs="仿宋_GB2312" w:eastAsia="仿宋_GB2312"/>
              </w:rPr>
              <w:t>一、评审内容： 对本项目的理解及认识方案，内容包含：①项目背景分析；②区域现状分析；③工作目的；④工作任务与提交成果。 二、评审标准： 1、完整性：对评审内容中的四项内容均有完整阐述，无缺项； 2、可实施性：整体思路、工作安排流程清晰、分工合理，具备落地执行条件； 三、赋分标准: ①项目背景分析（满分2分）：每完全满足一个评审标准得1分，基本满足（准确但分析较简略）得0.5分，不满足（错误或未分析）得0分；②区域现状分析（满分2分）：每完全满足一个评审标准得1分，基本满足（准确但分析较简略）得0.5分，不满足（错误或未分析）得0分；③工作目的（满分2分）：每完全满足一个评审标准得1分，基本满足（准确但分析较简略）得0.5分，不满足（错误或未分析）得0分；④工作任务与提交成果（满分2分）：每完全满足一个评审标准得1分，基本满足（准确但分析较简略）得0.5分，不满足（错误或未分析）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供应商认为需要提供的其它材料.docx</w:t>
            </w:r>
          </w:p>
        </w:tc>
      </w:tr>
      <w:tr>
        <w:tc>
          <w:tcPr>
            <w:tcW w:type="dxa" w:w="831"/>
            <w:vMerge/>
          </w:tcPr>
          <w:p/>
        </w:tc>
        <w:tc>
          <w:tcPr>
            <w:tcW w:type="dxa" w:w="1661"/>
          </w:tcPr>
          <w:p>
            <w:pPr>
              <w:pStyle w:val="null3"/>
            </w:pPr>
            <w:r>
              <w:rPr>
                <w:rFonts w:ascii="仿宋_GB2312" w:hAnsi="仿宋_GB2312" w:cs="仿宋_GB2312" w:eastAsia="仿宋_GB2312"/>
              </w:rPr>
              <w:t>工作方案</w:t>
            </w:r>
          </w:p>
        </w:tc>
        <w:tc>
          <w:tcPr>
            <w:tcW w:type="dxa" w:w="2492"/>
          </w:tcPr>
          <w:p>
            <w:pPr>
              <w:pStyle w:val="null3"/>
            </w:pPr>
            <w:r>
              <w:rPr>
                <w:rFonts w:ascii="仿宋_GB2312" w:hAnsi="仿宋_GB2312" w:cs="仿宋_GB2312" w:eastAsia="仿宋_GB2312"/>
              </w:rPr>
              <w:t>一、评审内容： 对本项目工作方案及内容，内容包含： ①工作依据；②工作原则；③工作范围；④规划目标；⑤主要工作内容；⑥方案编制提纲。 二、评审标准： 1、完整性：对评审内容中的六项内容均有完整阐述，无缺项； 2、可实施性：实施方案步骤清晰、逻辑通顺，贴合本项目基本情况，具备落地执行条件，编制合理的方案； 3、针对性：方案能够紧扣本项目采购专属特点，紧扣项目实际情况，内容科学合理 。 三、赋分标准: ①工作依据（满分3分）：每完全满足一个评审标准得1分，基本满足（准确但分析较简略）得0.5分，不满足（错误或未分析）得0分；②工作原则（满分3分）：每完全满足一个评审标准得1分，基本满足（准确但分析较简略）得0.5分，不满足（错误或未分析）得0分；③工作范围（满分3分）：每完全满足一个评审标准得1分，基本满足（准确但分析较简略）得0.5分，不满足（错误或未分析）得0分；④规划目标（满分3分）：每完全满足一个评审标准得1分，基本满足（准确但分析较简略）得0.5分，不满足（错误或未分析）得0分；⑤主要工作内容（满分3分）：每完全满足一个评审标准得1分，基本满足（准确但分析较简略）得0.5分，不满足（错误或未分析）得0分；⑥方案编制提纲（满分3分）：每完全满足一个评审标准得1分，基本满足（准确但分析较简略）得0.5分，不满足（错误或未分析）得0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供应商认为需要提供的其它材料.docx</w:t>
            </w:r>
          </w:p>
          <w:p>
            <w:pPr>
              <w:pStyle w:val="null3"/>
            </w:pPr>
            <w:r>
              <w:rPr>
                <w:rFonts w:ascii="仿宋_GB2312" w:hAnsi="仿宋_GB2312" w:cs="仿宋_GB2312" w:eastAsia="仿宋_GB2312"/>
              </w:rPr>
              <w:t>服务内容及服务要求应答表.docx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 提供针对本项目的质量保障措施方案，内容包括但不限于：①质量管理体系；②质量保障措施等。 二、评审标准： 1、完整性：方案必须全面，对评审内容中的各项要求有详细描述； 2、可实施性：切合本项目实际情况，承诺内容务实、保障措施可行、实施计划步骤清晰合理； 三、赋分标准: ①质量管理体系（满分2分）：每完全满足一个评审标准得1分，基本满足（内容较全面但不够详尽）得0.5分，不满足（内容简单、描述粗略）得0分； ②质量保障措施（满分2分）：每完全满足一个评审标准得1分，基本满足（措施有框架但细节不足）得0.5分，不满足（无实施保障计划）得0分。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供应商认为需要提供的其它材料.docx</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项目进度及保障措施</w:t>
            </w:r>
          </w:p>
        </w:tc>
        <w:tc>
          <w:tcPr>
            <w:tcW w:type="dxa" w:w="2492"/>
          </w:tcPr>
          <w:p>
            <w:pPr>
              <w:pStyle w:val="null3"/>
            </w:pPr>
            <w:r>
              <w:rPr>
                <w:rFonts w:ascii="仿宋_GB2312" w:hAnsi="仿宋_GB2312" w:cs="仿宋_GB2312" w:eastAsia="仿宋_GB2312"/>
              </w:rPr>
              <w:t>一、评审内容： 针对本项目提供进度方案，方案内容包括但不限于：①工作进度计划安排；②进度保证措施；③工作节点规划； 二、评审标准： 1、完整性：方案必须全面，对评审内容中的各项要求有详细描述； 2、可实施性：切合本项目实际情况，进度计划安排合理、保障进度措施可行、工作节点清晰，步骤明确可落地； 三、赋分标准: ①工作进度计划安排（满分2分）：每完全满足一个评审标准得1分，基本满足（进度安排基本合理但与实际贴合度一般）得0.5分，不满足（进度安排不合理）得0分； ②进度保证措施（满分2分）：每完全满足一个评审标准得1分，基本满足（有措施但不明确需协调）得0.5分，不满足（措施简单或未制定）得0分； ③工作节点规划（满分2分）：每完全满足一个评审标准得1分，基本满足（节点有规划但不够清晰）得0.5分，不满足（无节点规划）得0分。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供应商认为需要提供的其它材料.docx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一、评审内容： 针对本项目编制保密措施方案，有相应的保障细则，内容包含：①保密范围；②保密措施。 二、评审标准： 1、完整性：方案必须全面，对评审内容中的各项要求有详细描述； 2、可实施性：切合本项目实际情况，承诺内容务实、保密措施可行、保密措施计划步骤清晰合理； 三、赋分标准: ①保密范围（满分2分）：每完全满足一个评审标准得1分，基本满足（内容较全面但不够详尽）得0.5分，不满足（内容简单、描述粗略）得0分； ②保密措施（满分2分）：每完全满足一个评审标准得1分，基本满足（措施有框架但细节不足）得0.5分，不满足（无实施计划）得0分。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供应商认为需要提供的其它材料.docx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1、供应商拟投入项目负责人具备与本项目相关专业高级职称的得3分，中级职称得2分，其余不得分； 2、项目负责人硕士及以上学历4分；大学本科学历3分；大学专科学历2分。其他0分。 注：（1）响应文件中须提供项目负责人身份证、学历证、职称证、在职证明（证明人员与供应商具有劳动关系的证明材料，例如：包括但不限于劳动合同或社保缴纳证明复印件等。（2）相关专业涵盖水利类或土木类（水利水电、水文、水利信息工程、土木工程）。</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供应商认为需要提供的其它材料.docx</w:t>
            </w:r>
          </w:p>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服务团队履约能力</w:t>
            </w:r>
          </w:p>
        </w:tc>
        <w:tc>
          <w:tcPr>
            <w:tcW w:type="dxa" w:w="2492"/>
          </w:tcPr>
          <w:p>
            <w:pPr>
              <w:pStyle w:val="null3"/>
            </w:pPr>
            <w:r>
              <w:rPr>
                <w:rFonts w:ascii="仿宋_GB2312" w:hAnsi="仿宋_GB2312" w:cs="仿宋_GB2312" w:eastAsia="仿宋_GB2312"/>
              </w:rPr>
              <w:t>团队人员配备（18分）（不含项目负责人），每配备一名相关专业中级职称人员得2分，高级职称得3分，本项累计最高18分。 注：1.须提供团队人员身份证、职称证、社保缴纳凭证复印件；2.相关专业为水利水电、水文、水利信息工程、土木工程等水利类、土木类相关专业；</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供应商认为需要提供的其它材料.docx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提供2023年1月1日至响应文件递交截止之日供应商完成的类似项目，每提供一份得3分，满分15分。【注：以合同协议书首页、关键页、签字盖章页或中标通知书证明为准】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供应商认为需要提供的其它材料.docx</w:t>
            </w:r>
          </w:p>
          <w:p>
            <w:pPr>
              <w:pStyle w:val="null3"/>
            </w:pPr>
            <w:r>
              <w:rPr>
                <w:rFonts w:ascii="仿宋_GB2312" w:hAnsi="仿宋_GB2312" w:cs="仿宋_GB2312" w:eastAsia="仿宋_GB2312"/>
              </w:rPr>
              <w:t>业绩证明材料.docx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响应文件，其投标报价为有效投标报价，对符合政策性扣减的供应商的有效投标价格进行政策性扣减，并依据扣减后的价格（评审价格）进行价格评审。2.满足磋商文件要求且投标报价最低的为评标基准价，其价格分为满分。价格分按照下列公式计算：报价得分=（评标基准价/有效报价）×价格权重×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详见附件：业绩证明材料.docx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详见附件：供应商认为需要提供的其它材料.docx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详见附件：合同参考模板.docx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