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全部满足磋商文件要求的，应答栏填写“完全响应本条要求，无偏离”即可。</w:t>
      </w:r>
      <w:bookmarkStart w:id="0" w:name="_GoBack"/>
      <w:bookmarkEnd w:id="0"/>
      <w:r>
        <w:rPr>
          <w:sz w:val="28"/>
          <w:szCs w:val="28"/>
        </w:rPr>
        <w:t>并按</w:t>
      </w:r>
      <w:r>
        <w:rPr>
          <w:rFonts w:hint="eastAsia"/>
          <w:sz w:val="28"/>
          <w:szCs w:val="28"/>
        </w:rPr>
        <w:t>磋商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3BBBF7AF"/>
    <w:rsid w:val="6192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公 瑾－</cp:lastModifiedBy>
  <dcterms:modified xsi:type="dcterms:W3CDTF">2026-07-17T03:50:32Z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eyJoZGlkIjoiOWJjMTQ0NmVlYTBjYmUwYWRhNzE4OWNiYTBhYTljODIiLCJ1c2VySWQiOiIxMDg4NjYyMDg1In0=</vt:lpwstr>
  </property>
  <property fmtid="{D5CDD505-2E9C-101B-9397-08002B2CF9AE}" pid="4" name="ICV">
    <vt:lpwstr>99143D3A301C4ED891586B89BD442902_12</vt:lpwstr>
  </property>
</Properties>
</file>